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DF82B" w14:textId="5EAEE151" w:rsidR="00D5072C" w:rsidRPr="00543682" w:rsidRDefault="00C35B45" w:rsidP="005F3461">
      <w:pPr>
        <w:pStyle w:val="Heading1"/>
        <w:pBdr>
          <w:top w:val="single" w:sz="36" w:space="4" w:color="6F2D87"/>
        </w:pBdr>
        <w:spacing w:before="0"/>
        <w:rPr>
          <w:b w:val="0"/>
        </w:rPr>
      </w:pPr>
      <w:r w:rsidRPr="006E675B">
        <w:t xml:space="preserve">Submission form </w:t>
      </w:r>
    </w:p>
    <w:p w14:paraId="4767887D" w14:textId="5F4F0E8A" w:rsidR="00D5072C" w:rsidRDefault="008F32F7" w:rsidP="00543682">
      <w:r w:rsidRPr="00D5072C">
        <w:t>To help us to consider your submission we are asking that you focus on the following questions</w:t>
      </w:r>
      <w:r w:rsidR="0015437D" w:rsidRPr="00D5072C">
        <w:t>.</w:t>
      </w:r>
      <w:r w:rsidR="00543682">
        <w:t xml:space="preserve"> </w:t>
      </w:r>
      <w:r w:rsidR="0015437D" w:rsidRPr="00D5072C">
        <w:t>There is the opportunity to provide additional feedback at the end.</w:t>
      </w:r>
      <w:r w:rsidR="00543682">
        <w:t xml:space="preserve"> </w:t>
      </w:r>
      <w:r w:rsidR="00BC4C92" w:rsidRPr="00D5072C">
        <w:t xml:space="preserve">We expect to get a high response and ask that, where you can, you </w:t>
      </w:r>
      <w:r w:rsidR="00D5072C" w:rsidRPr="00D5072C">
        <w:t>are concise.</w:t>
      </w:r>
      <w:r w:rsidR="00D5072C">
        <w:t xml:space="preserve"> Once you have completed your submission please send it to: </w:t>
      </w:r>
      <w:hyperlink r:id="rId10" w:history="1">
        <w:r w:rsidR="00D5072C" w:rsidRPr="00543682">
          <w:rPr>
            <w:rStyle w:val="Hyperlink"/>
          </w:rPr>
          <w:t>pharmacreview@health.govt.nz</w:t>
        </w:r>
      </w:hyperlink>
      <w:r w:rsidR="00D5072C" w:rsidRPr="00543682">
        <w:t xml:space="preserve"> </w:t>
      </w:r>
    </w:p>
    <w:p w14:paraId="236DF328" w14:textId="77777777" w:rsidR="009D7619" w:rsidRPr="009D7619" w:rsidRDefault="009D7619" w:rsidP="009D7619">
      <w:pPr>
        <w:rPr>
          <w:b/>
          <w:bCs/>
        </w:rPr>
      </w:pPr>
      <w:r w:rsidRPr="009D7619">
        <w:rPr>
          <w:b/>
          <w:bCs/>
        </w:rPr>
        <w:t xml:space="preserve">Note that submissions are subject to the Official Information Act and may, therefore, be released in part or full. </w:t>
      </w:r>
    </w:p>
    <w:p w14:paraId="76EDB3B3" w14:textId="6835607C" w:rsidR="009D7619" w:rsidRDefault="009D7619" w:rsidP="009D7619">
      <w:r>
        <w:t>If your submission contains any confidential information please state this within submission,</w:t>
      </w:r>
      <w:r w:rsidR="000B05ED">
        <w:t xml:space="preserve"> </w:t>
      </w:r>
      <w:r>
        <w:t>and set out clearly which parts you consider should be withheld and the grounds under the Official Information Act 1982 that you believe apply. We will consult with submitters when responding to requests under the Official Information Act.</w:t>
      </w:r>
    </w:p>
    <w:p w14:paraId="23DBF24F" w14:textId="36391857" w:rsidR="00791321" w:rsidRPr="00DE2318" w:rsidRDefault="00A86E5B" w:rsidP="00DE2318">
      <w:pPr>
        <w:pStyle w:val="Heading2"/>
      </w:pPr>
      <w:r w:rsidRPr="00DE2318">
        <w:t>S</w:t>
      </w:r>
      <w:r w:rsidR="0001675E" w:rsidRPr="00DE2318">
        <w:t>ubmission questions</w:t>
      </w:r>
    </w:p>
    <w:p w14:paraId="4640A0E2" w14:textId="561958B4" w:rsidR="00256EAF" w:rsidRPr="00531C67" w:rsidRDefault="00D5072C" w:rsidP="0058260C">
      <w:pPr>
        <w:pStyle w:val="Heading3"/>
        <w:spacing w:before="0"/>
        <w:rPr>
          <w:b/>
          <w:bCs/>
        </w:rPr>
      </w:pPr>
      <w:r w:rsidRPr="00531C67">
        <w:rPr>
          <w:b/>
          <w:bCs/>
        </w:rPr>
        <w:t>Tell us about y</w:t>
      </w:r>
      <w:r w:rsidR="00791321" w:rsidRPr="00531C67">
        <w:rPr>
          <w:b/>
          <w:bCs/>
        </w:rPr>
        <w:t>our current experience</w:t>
      </w:r>
      <w:r w:rsidRPr="00531C67">
        <w:rPr>
          <w:b/>
          <w:bCs/>
        </w:rPr>
        <w:t xml:space="preserve"> with PHARMAC</w:t>
      </w:r>
      <w:r w:rsidR="0058260C" w:rsidRPr="00531C67">
        <w:rPr>
          <w:b/>
          <w:bCs/>
        </w:rPr>
        <w:t xml:space="preserve"> and how it functions</w:t>
      </w:r>
    </w:p>
    <w:tbl>
      <w:tblPr>
        <w:tblStyle w:val="TableGrid"/>
        <w:tblW w:w="0" w:type="auto"/>
        <w:tblLook w:val="04A0" w:firstRow="1" w:lastRow="0" w:firstColumn="1" w:lastColumn="0" w:noHBand="0" w:noVBand="1"/>
      </w:tblPr>
      <w:tblGrid>
        <w:gridCol w:w="9016"/>
      </w:tblGrid>
      <w:tr w:rsidR="001A4D8A" w14:paraId="042212A8" w14:textId="77777777" w:rsidTr="001A4D8A">
        <w:tc>
          <w:tcPr>
            <w:tcW w:w="9016" w:type="dxa"/>
          </w:tcPr>
          <w:p w14:paraId="6EAED3FA" w14:textId="4A028A14" w:rsidR="001A4D8A" w:rsidRDefault="001A4D8A" w:rsidP="0016748E">
            <w:pPr>
              <w:pStyle w:val="Heading4"/>
              <w:ind w:left="447" w:hanging="425"/>
              <w:outlineLvl w:val="3"/>
            </w:pPr>
            <w:r>
              <w:t xml:space="preserve">What is </w:t>
            </w:r>
            <w:r w:rsidRPr="005F3461">
              <w:t>your</w:t>
            </w:r>
            <w:r>
              <w:t xml:space="preserve"> understanding of what PHARMAC does? </w:t>
            </w:r>
          </w:p>
          <w:p w14:paraId="5C5A6911" w14:textId="77777777" w:rsidR="001A4D8A" w:rsidRPr="00641189" w:rsidRDefault="001A4D8A" w:rsidP="0016748E">
            <w:pPr>
              <w:ind w:left="447" w:hanging="425"/>
              <w:rPr>
                <w:rFonts w:asciiTheme="majorHAnsi" w:hAnsiTheme="majorHAnsi" w:cstheme="majorHAnsi"/>
                <w:sz w:val="21"/>
                <w:szCs w:val="21"/>
              </w:rPr>
            </w:pPr>
          </w:p>
          <w:p w14:paraId="16FDB667" w14:textId="3A03EAB4" w:rsidR="00A94345" w:rsidRPr="00641189" w:rsidRDefault="009542A6" w:rsidP="00A94345">
            <w:pPr>
              <w:rPr>
                <w:rFonts w:asciiTheme="majorHAnsi" w:hAnsiTheme="majorHAnsi" w:cstheme="majorHAnsi"/>
                <w:sz w:val="21"/>
                <w:szCs w:val="21"/>
              </w:rPr>
            </w:pPr>
            <w:r w:rsidRPr="00641189">
              <w:rPr>
                <w:rFonts w:asciiTheme="majorHAnsi" w:hAnsiTheme="majorHAnsi" w:cstheme="majorHAnsi"/>
                <w:sz w:val="21"/>
                <w:szCs w:val="21"/>
              </w:rPr>
              <w:t xml:space="preserve">PHARMAC is </w:t>
            </w:r>
            <w:r w:rsidR="00A94345" w:rsidRPr="00641189">
              <w:rPr>
                <w:rFonts w:asciiTheme="majorHAnsi" w:hAnsiTheme="majorHAnsi" w:cstheme="majorHAnsi"/>
                <w:sz w:val="21"/>
                <w:szCs w:val="21"/>
              </w:rPr>
              <w:t>a Crown Entity charged with “</w:t>
            </w:r>
            <w:proofErr w:type="spellStart"/>
            <w:r w:rsidR="00A94345" w:rsidRPr="00641189">
              <w:rPr>
                <w:rFonts w:asciiTheme="majorHAnsi" w:hAnsiTheme="majorHAnsi" w:cstheme="majorHAnsi"/>
                <w:sz w:val="21"/>
                <w:szCs w:val="21"/>
              </w:rPr>
              <w:t>secur</w:t>
            </w:r>
            <w:proofErr w:type="spellEnd"/>
            <w:r w:rsidR="00A94345" w:rsidRPr="00641189">
              <w:rPr>
                <w:rFonts w:asciiTheme="majorHAnsi" w:hAnsiTheme="majorHAnsi" w:cstheme="majorHAnsi"/>
                <w:sz w:val="21"/>
                <w:szCs w:val="21"/>
              </w:rPr>
              <w:t>[</w:t>
            </w:r>
            <w:proofErr w:type="spellStart"/>
            <w:r w:rsidR="00A94345" w:rsidRPr="00641189">
              <w:rPr>
                <w:rFonts w:asciiTheme="majorHAnsi" w:hAnsiTheme="majorHAnsi" w:cstheme="majorHAnsi"/>
                <w:sz w:val="21"/>
                <w:szCs w:val="21"/>
              </w:rPr>
              <w:t>ing</w:t>
            </w:r>
            <w:proofErr w:type="spellEnd"/>
            <w:r w:rsidR="00A94345" w:rsidRPr="00641189">
              <w:rPr>
                <w:rFonts w:asciiTheme="majorHAnsi" w:hAnsiTheme="majorHAnsi" w:cstheme="majorHAnsi"/>
                <w:sz w:val="21"/>
                <w:szCs w:val="21"/>
              </w:rPr>
              <w:t>] for eligible people in need of pharmaceuticals, the best health outcomes that are reasonably achievable from pharmaceutical treatment and from within the amount of funding provided”.</w:t>
            </w:r>
          </w:p>
          <w:p w14:paraId="604FCF73" w14:textId="77777777" w:rsidR="001A4D8A" w:rsidRPr="00641189" w:rsidRDefault="001A4D8A" w:rsidP="00A94345">
            <w:pPr>
              <w:rPr>
                <w:rFonts w:asciiTheme="majorHAnsi" w:hAnsiTheme="majorHAnsi" w:cstheme="majorHAnsi"/>
                <w:sz w:val="21"/>
                <w:szCs w:val="21"/>
              </w:rPr>
            </w:pPr>
          </w:p>
          <w:p w14:paraId="2A366735" w14:textId="4258B620" w:rsidR="001A4D8A" w:rsidRDefault="001A4D8A" w:rsidP="0016748E">
            <w:pPr>
              <w:ind w:left="447" w:hanging="425"/>
            </w:pPr>
          </w:p>
        </w:tc>
      </w:tr>
      <w:tr w:rsidR="001A4D8A" w14:paraId="47382571" w14:textId="77777777" w:rsidTr="001A4D8A">
        <w:tc>
          <w:tcPr>
            <w:tcW w:w="9016" w:type="dxa"/>
          </w:tcPr>
          <w:p w14:paraId="4AD76423" w14:textId="3F9ED90B" w:rsidR="001A4D8A" w:rsidRDefault="001A4D8A" w:rsidP="0016748E">
            <w:pPr>
              <w:pStyle w:val="Heading4"/>
              <w:ind w:left="447" w:hanging="425"/>
              <w:outlineLvl w:val="3"/>
            </w:pPr>
            <w:r>
              <w:t xml:space="preserve">What has been your </w:t>
            </w:r>
            <w:r w:rsidRPr="005F3461">
              <w:t>experience</w:t>
            </w:r>
            <w:r>
              <w:t xml:space="preserve"> </w:t>
            </w:r>
            <w:r w:rsidR="00AF397C">
              <w:t>of</w:t>
            </w:r>
            <w:r>
              <w:t xml:space="preserve"> working with PHARMAC? </w:t>
            </w:r>
          </w:p>
          <w:p w14:paraId="4F704D41" w14:textId="665921D2" w:rsidR="001A4D8A" w:rsidRDefault="001A4D8A" w:rsidP="0016748E">
            <w:pPr>
              <w:pStyle w:val="ListParagraph"/>
              <w:ind w:left="447" w:hanging="425"/>
            </w:pPr>
          </w:p>
          <w:p w14:paraId="047371F9" w14:textId="4E2A9F89" w:rsidR="00641189" w:rsidRDefault="00641189" w:rsidP="00641189">
            <w:pPr>
              <w:pStyle w:val="ListParagraph"/>
              <w:ind w:left="35" w:hanging="13"/>
              <w:rPr>
                <w:rFonts w:asciiTheme="majorHAnsi" w:hAnsiTheme="majorHAnsi"/>
                <w:sz w:val="21"/>
              </w:rPr>
            </w:pPr>
            <w:r>
              <w:rPr>
                <w:rFonts w:asciiTheme="majorHAnsi" w:hAnsiTheme="majorHAnsi"/>
                <w:sz w:val="21"/>
              </w:rPr>
              <w:t>Unicorn Foundation NZ is the national charity supporting around 3,000 New Zealanders living with neuroendocrine cancer. These complex cancers can occur almost anywhere in the body and typically take five years to be correctly diagnosed. By this time, the patient’s cancer has more often than not spread to other parts of the body. Despite this, patients often successfully live full and productive lives for many years after diagnosis.</w:t>
            </w:r>
          </w:p>
          <w:p w14:paraId="54373BC3" w14:textId="77777777" w:rsidR="00641189" w:rsidRDefault="00641189" w:rsidP="00641189">
            <w:pPr>
              <w:pStyle w:val="ListParagraph"/>
              <w:ind w:left="35" w:hanging="13"/>
            </w:pPr>
          </w:p>
          <w:p w14:paraId="066F5314" w14:textId="3FE1F9CC" w:rsidR="001A4D8A" w:rsidRPr="00641189" w:rsidRDefault="009542A6" w:rsidP="00641189">
            <w:pPr>
              <w:pStyle w:val="ListParagraph"/>
              <w:ind w:left="35" w:hanging="13"/>
              <w:rPr>
                <w:rFonts w:asciiTheme="majorHAnsi" w:hAnsiTheme="majorHAnsi"/>
                <w:sz w:val="21"/>
              </w:rPr>
            </w:pPr>
            <w:r w:rsidRPr="00641189">
              <w:rPr>
                <w:rFonts w:asciiTheme="majorHAnsi" w:hAnsiTheme="majorHAnsi"/>
                <w:sz w:val="21"/>
              </w:rPr>
              <w:t xml:space="preserve">We have a good working relationship at all levels within PHARMAC. However, the staff of the agency can only work within the constraints of their mandate. Which means that they are largely unable to assist with issues, which are of access and funding. </w:t>
            </w:r>
          </w:p>
          <w:p w14:paraId="6823C128" w14:textId="77777777" w:rsidR="00347E74" w:rsidRDefault="00347E74" w:rsidP="0016748E">
            <w:pPr>
              <w:pStyle w:val="ListParagraph"/>
              <w:ind w:left="447" w:hanging="425"/>
            </w:pPr>
          </w:p>
          <w:p w14:paraId="6C8F0ED0" w14:textId="2250879D" w:rsidR="001A4D8A" w:rsidRDefault="001A4D8A" w:rsidP="0016748E">
            <w:pPr>
              <w:pStyle w:val="ListParagraph"/>
              <w:ind w:left="447" w:hanging="425"/>
            </w:pPr>
          </w:p>
        </w:tc>
      </w:tr>
      <w:tr w:rsidR="003E24A4" w14:paraId="7A09284D" w14:textId="77777777" w:rsidTr="001A4D8A">
        <w:tc>
          <w:tcPr>
            <w:tcW w:w="9016" w:type="dxa"/>
          </w:tcPr>
          <w:p w14:paraId="714E3BF9" w14:textId="11038CA5" w:rsidR="003E24A4" w:rsidRDefault="003E24A4" w:rsidP="0016748E">
            <w:pPr>
              <w:pStyle w:val="Heading4"/>
              <w:ind w:left="447" w:hanging="425"/>
              <w:outlineLvl w:val="3"/>
            </w:pPr>
            <w:r>
              <w:t>What are the challenges with PHA</w:t>
            </w:r>
            <w:r w:rsidR="007B4A7E">
              <w:t>R</w:t>
            </w:r>
            <w:r>
              <w:t>MAC</w:t>
            </w:r>
            <w:r w:rsidR="009F7E33">
              <w:t>’s</w:t>
            </w:r>
            <w:r>
              <w:t xml:space="preserve"> functions </w:t>
            </w:r>
            <w:r w:rsidR="0058260C">
              <w:t xml:space="preserve">for </w:t>
            </w:r>
            <w:r>
              <w:t>funding medicines and devices?</w:t>
            </w:r>
          </w:p>
          <w:p w14:paraId="50375A6D" w14:textId="77777777" w:rsidR="00C7043B" w:rsidRPr="00C7043B" w:rsidRDefault="00C7043B" w:rsidP="00C7043B"/>
          <w:p w14:paraId="250062C9" w14:textId="7694E22F" w:rsidR="00347E74" w:rsidRDefault="009D748F" w:rsidP="009D748F">
            <w:pPr>
              <w:ind w:left="35" w:hanging="13"/>
              <w:rPr>
                <w:rFonts w:asciiTheme="majorHAnsi" w:hAnsiTheme="majorHAnsi" w:cstheme="majorHAnsi"/>
                <w:sz w:val="21"/>
                <w:szCs w:val="21"/>
              </w:rPr>
            </w:pPr>
            <w:r>
              <w:rPr>
                <w:rFonts w:asciiTheme="majorHAnsi" w:hAnsiTheme="majorHAnsi" w:cstheme="majorHAnsi"/>
                <w:sz w:val="21"/>
                <w:szCs w:val="21"/>
              </w:rPr>
              <w:t>Unicorn Foundation NZ proposes that PHARMAC be assessed against whether it is able to perform its statutory functions. Below, we have assessed whether the agency is fit for purpose against the three key pillars of its legislative mandate.</w:t>
            </w:r>
          </w:p>
          <w:p w14:paraId="48B61611" w14:textId="77777777" w:rsidR="00C7043B" w:rsidRPr="00641189" w:rsidRDefault="00C7043B" w:rsidP="009D748F">
            <w:pPr>
              <w:ind w:left="35" w:hanging="13"/>
              <w:rPr>
                <w:rFonts w:asciiTheme="majorHAnsi" w:hAnsiTheme="majorHAnsi" w:cstheme="majorHAnsi"/>
                <w:sz w:val="21"/>
                <w:szCs w:val="21"/>
              </w:rPr>
            </w:pPr>
          </w:p>
          <w:p w14:paraId="7A057F29" w14:textId="2112DB3B" w:rsidR="00A94345" w:rsidRDefault="00A94345" w:rsidP="00A94345">
            <w:pPr>
              <w:pStyle w:val="ListParagraph"/>
              <w:numPr>
                <w:ilvl w:val="0"/>
                <w:numId w:val="20"/>
              </w:numPr>
              <w:rPr>
                <w:rFonts w:asciiTheme="majorHAnsi" w:hAnsiTheme="majorHAnsi" w:cstheme="majorHAnsi"/>
                <w:sz w:val="21"/>
                <w:szCs w:val="21"/>
              </w:rPr>
            </w:pPr>
            <w:r w:rsidRPr="00641189">
              <w:rPr>
                <w:rFonts w:asciiTheme="majorHAnsi" w:hAnsiTheme="majorHAnsi" w:cstheme="majorHAnsi"/>
                <w:sz w:val="21"/>
                <w:szCs w:val="21"/>
              </w:rPr>
              <w:t>Securing for eligible people in need of pharmaceuticals:</w:t>
            </w:r>
          </w:p>
          <w:p w14:paraId="6B7130C3" w14:textId="7CE88DA4" w:rsidR="00B321C8" w:rsidRDefault="00B321C8" w:rsidP="00B321C8">
            <w:pPr>
              <w:ind w:left="22"/>
              <w:rPr>
                <w:rFonts w:asciiTheme="majorHAnsi" w:hAnsiTheme="majorHAnsi"/>
                <w:sz w:val="21"/>
              </w:rPr>
            </w:pPr>
            <w:r>
              <w:rPr>
                <w:rFonts w:asciiTheme="majorHAnsi" w:hAnsiTheme="majorHAnsi"/>
                <w:sz w:val="21"/>
              </w:rPr>
              <w:t xml:space="preserve">No two neuroendocrine cancers are the same. Every patient has a unique presentation, unique set of symptoms and requires a tailored treatment regimen. PHARMAC’s approach to funding medicines and devices does not support the individual. </w:t>
            </w:r>
          </w:p>
          <w:p w14:paraId="008EC67E" w14:textId="3756E074" w:rsidR="00C712A2" w:rsidRDefault="00C712A2" w:rsidP="00B321C8">
            <w:pPr>
              <w:ind w:left="22"/>
              <w:rPr>
                <w:rFonts w:asciiTheme="majorHAnsi" w:hAnsiTheme="majorHAnsi" w:cstheme="majorHAnsi"/>
                <w:sz w:val="21"/>
                <w:szCs w:val="21"/>
              </w:rPr>
            </w:pPr>
            <w:r>
              <w:rPr>
                <w:rFonts w:asciiTheme="majorHAnsi" w:hAnsiTheme="majorHAnsi" w:cstheme="majorHAnsi"/>
                <w:sz w:val="21"/>
                <w:szCs w:val="21"/>
              </w:rPr>
              <w:t xml:space="preserve">Currently, there are a host of neuroendocrine cancer treatments available in Australia (and other countries to which we like to compare ourselves) that are unfunded in New Zealand. Many patients have no funded treatment options (as their neuroendocrine cancer is unresponsive to these treatments) and so these </w:t>
            </w:r>
            <w:r w:rsidRPr="00C712A2">
              <w:rPr>
                <w:rFonts w:asciiTheme="majorHAnsi" w:hAnsiTheme="majorHAnsi" w:cstheme="majorHAnsi"/>
                <w:b/>
                <w:bCs/>
                <w:sz w:val="21"/>
                <w:szCs w:val="21"/>
              </w:rPr>
              <w:t xml:space="preserve">patients </w:t>
            </w:r>
            <w:r>
              <w:rPr>
                <w:rFonts w:asciiTheme="majorHAnsi" w:hAnsiTheme="majorHAnsi" w:cstheme="majorHAnsi"/>
                <w:b/>
                <w:bCs/>
                <w:sz w:val="21"/>
                <w:szCs w:val="21"/>
              </w:rPr>
              <w:t>are in</w:t>
            </w:r>
            <w:r w:rsidRPr="00C712A2">
              <w:rPr>
                <w:rFonts w:asciiTheme="majorHAnsi" w:hAnsiTheme="majorHAnsi" w:cstheme="majorHAnsi"/>
                <w:b/>
                <w:bCs/>
                <w:sz w:val="21"/>
                <w:szCs w:val="21"/>
              </w:rPr>
              <w:t xml:space="preserve"> need of pharmaceuticals, yet PHARMAC is not securing any treatments for them</w:t>
            </w:r>
            <w:r>
              <w:rPr>
                <w:rFonts w:asciiTheme="majorHAnsi" w:hAnsiTheme="majorHAnsi" w:cstheme="majorHAnsi"/>
                <w:sz w:val="21"/>
                <w:szCs w:val="21"/>
              </w:rPr>
              <w:t xml:space="preserve"> through the schedule. These patients are also being declined through PHARMAC’s NPPA scheme. </w:t>
            </w:r>
          </w:p>
          <w:p w14:paraId="47EB6F48" w14:textId="77777777" w:rsidR="00C712A2" w:rsidRPr="00B321C8" w:rsidRDefault="00C712A2" w:rsidP="00B321C8">
            <w:pPr>
              <w:ind w:left="22"/>
              <w:rPr>
                <w:rFonts w:asciiTheme="majorHAnsi" w:hAnsiTheme="majorHAnsi" w:cstheme="majorHAnsi"/>
                <w:sz w:val="21"/>
                <w:szCs w:val="21"/>
              </w:rPr>
            </w:pPr>
          </w:p>
          <w:p w14:paraId="126CD8CB" w14:textId="1AED9012" w:rsidR="00A94345" w:rsidRDefault="00A94345" w:rsidP="00A94345">
            <w:pPr>
              <w:pStyle w:val="ListParagraph"/>
              <w:numPr>
                <w:ilvl w:val="0"/>
                <w:numId w:val="20"/>
              </w:numPr>
              <w:rPr>
                <w:rFonts w:asciiTheme="majorHAnsi" w:hAnsiTheme="majorHAnsi" w:cstheme="majorHAnsi"/>
                <w:sz w:val="21"/>
                <w:szCs w:val="21"/>
              </w:rPr>
            </w:pPr>
            <w:r w:rsidRPr="00641189">
              <w:rPr>
                <w:rFonts w:asciiTheme="majorHAnsi" w:hAnsiTheme="majorHAnsi" w:cstheme="majorHAnsi"/>
                <w:sz w:val="21"/>
                <w:szCs w:val="21"/>
              </w:rPr>
              <w:t>The best health outcomes that are reasonably achievable from pharmaceutical treatment:</w:t>
            </w:r>
          </w:p>
          <w:p w14:paraId="7AC3F5A9" w14:textId="77777777" w:rsidR="00C712A2" w:rsidRDefault="00C712A2" w:rsidP="00C712A2">
            <w:pPr>
              <w:ind w:left="22"/>
              <w:rPr>
                <w:rFonts w:asciiTheme="majorHAnsi" w:hAnsiTheme="majorHAnsi" w:cstheme="majorHAnsi"/>
                <w:sz w:val="21"/>
                <w:szCs w:val="21"/>
              </w:rPr>
            </w:pPr>
            <w:r>
              <w:rPr>
                <w:rFonts w:asciiTheme="majorHAnsi" w:hAnsiTheme="majorHAnsi" w:cstheme="majorHAnsi"/>
                <w:sz w:val="21"/>
                <w:szCs w:val="21"/>
              </w:rPr>
              <w:t xml:space="preserve">For neuroendocrine cancer patients, there is a need to expand access to currently funded treatments. For example, somatostatin inhibitors are shown to slow the growth of neuroendocrine cancers. Yet these are only funded for patients that are suffering from symptoms associated with their cancer. As a consequence when patients remain untreated due to lack of symptoms, their disease is essentially being accelerated. </w:t>
            </w:r>
          </w:p>
          <w:p w14:paraId="26BCB26C" w14:textId="73F30E87" w:rsidR="00C712A2" w:rsidRDefault="00C712A2" w:rsidP="00C712A2">
            <w:pPr>
              <w:ind w:left="22"/>
              <w:rPr>
                <w:rFonts w:asciiTheme="majorHAnsi" w:hAnsiTheme="majorHAnsi" w:cstheme="majorHAnsi"/>
                <w:sz w:val="21"/>
                <w:szCs w:val="21"/>
              </w:rPr>
            </w:pPr>
            <w:r>
              <w:rPr>
                <w:rFonts w:asciiTheme="majorHAnsi" w:hAnsiTheme="majorHAnsi" w:cstheme="majorHAnsi"/>
                <w:sz w:val="21"/>
                <w:szCs w:val="21"/>
              </w:rPr>
              <w:t xml:space="preserve">Also, there are two main brands of somatostatin inhibitors available, yet only one is funded in New Zealand. Evidence from Australia shows that the market is split 50-50 between the two brands, and that many patients need to switch between brands from time to time due to tolerability issues. In New Zealand, this is not possible as only one brand is funded. This means that PHARMAC is not securing the best health outcomes reasonably achievable from pharmaceutical treatment, simply because they are opting to purchase only one brand. </w:t>
            </w:r>
            <w:r w:rsidR="009D748F">
              <w:rPr>
                <w:rFonts w:asciiTheme="majorHAnsi" w:hAnsiTheme="majorHAnsi" w:cstheme="majorHAnsi"/>
                <w:sz w:val="21"/>
                <w:szCs w:val="21"/>
              </w:rPr>
              <w:t>PHARMAC’s</w:t>
            </w:r>
            <w:r>
              <w:rPr>
                <w:rFonts w:asciiTheme="majorHAnsi" w:hAnsiTheme="majorHAnsi" w:cstheme="majorHAnsi"/>
                <w:sz w:val="21"/>
                <w:szCs w:val="21"/>
              </w:rPr>
              <w:t xml:space="preserve"> focus on </w:t>
            </w:r>
            <w:r w:rsidR="009D748F">
              <w:rPr>
                <w:rFonts w:asciiTheme="majorHAnsi" w:hAnsiTheme="majorHAnsi" w:cstheme="majorHAnsi"/>
                <w:sz w:val="21"/>
                <w:szCs w:val="21"/>
              </w:rPr>
              <w:t xml:space="preserve">achieving the lowest price means that it needs to contract the supplier to meet 95-100% of the market. The result is that for a marginal cost saving up to half the eligible patients may miss out on the best health outcomes from that category of treatment due to tolerability issues. </w:t>
            </w:r>
            <w:r w:rsidR="009D748F" w:rsidRPr="009D748F">
              <w:rPr>
                <w:rFonts w:asciiTheme="majorHAnsi" w:hAnsiTheme="majorHAnsi" w:cstheme="majorHAnsi"/>
                <w:b/>
                <w:bCs/>
                <w:sz w:val="21"/>
                <w:szCs w:val="21"/>
              </w:rPr>
              <w:t>This is a failure by PHARMAC to meet its legislative mandate</w:t>
            </w:r>
            <w:r w:rsidR="009D748F">
              <w:rPr>
                <w:rFonts w:asciiTheme="majorHAnsi" w:hAnsiTheme="majorHAnsi" w:cstheme="majorHAnsi"/>
                <w:b/>
                <w:bCs/>
                <w:sz w:val="21"/>
                <w:szCs w:val="21"/>
              </w:rPr>
              <w:t xml:space="preserve"> to achieve the best health outcomes … from pharmaceutical treatment</w:t>
            </w:r>
            <w:r w:rsidR="009D748F">
              <w:rPr>
                <w:rFonts w:asciiTheme="majorHAnsi" w:hAnsiTheme="majorHAnsi" w:cstheme="majorHAnsi"/>
                <w:sz w:val="21"/>
                <w:szCs w:val="21"/>
              </w:rPr>
              <w:t xml:space="preserve">. </w:t>
            </w:r>
          </w:p>
          <w:p w14:paraId="5F4A75A9" w14:textId="02DD3C9B" w:rsidR="00C712A2" w:rsidRPr="00C712A2" w:rsidRDefault="00C712A2" w:rsidP="00C712A2">
            <w:pPr>
              <w:ind w:left="22"/>
              <w:rPr>
                <w:rFonts w:asciiTheme="majorHAnsi" w:hAnsiTheme="majorHAnsi" w:cstheme="majorHAnsi"/>
                <w:sz w:val="21"/>
                <w:szCs w:val="21"/>
              </w:rPr>
            </w:pPr>
          </w:p>
          <w:p w14:paraId="55630924" w14:textId="65CCF72F" w:rsidR="00A94345" w:rsidRDefault="00A94345" w:rsidP="00A94345">
            <w:pPr>
              <w:pStyle w:val="ListParagraph"/>
              <w:numPr>
                <w:ilvl w:val="0"/>
                <w:numId w:val="20"/>
              </w:numPr>
              <w:rPr>
                <w:rFonts w:asciiTheme="majorHAnsi" w:hAnsiTheme="majorHAnsi" w:cstheme="majorHAnsi"/>
                <w:sz w:val="21"/>
                <w:szCs w:val="21"/>
              </w:rPr>
            </w:pPr>
            <w:r w:rsidRPr="00641189">
              <w:rPr>
                <w:rFonts w:asciiTheme="majorHAnsi" w:hAnsiTheme="majorHAnsi" w:cstheme="majorHAnsi"/>
                <w:sz w:val="21"/>
                <w:szCs w:val="21"/>
              </w:rPr>
              <w:t>From within the amount of funding provided.</w:t>
            </w:r>
          </w:p>
          <w:p w14:paraId="15AFFD32" w14:textId="2465D8E2" w:rsidR="009D748F" w:rsidRPr="009D748F" w:rsidRDefault="009D748F" w:rsidP="009D748F">
            <w:pPr>
              <w:rPr>
                <w:rFonts w:asciiTheme="majorHAnsi" w:hAnsiTheme="majorHAnsi" w:cstheme="majorHAnsi"/>
                <w:sz w:val="21"/>
                <w:szCs w:val="21"/>
              </w:rPr>
            </w:pPr>
            <w:r>
              <w:rPr>
                <w:rFonts w:asciiTheme="majorHAnsi" w:hAnsiTheme="majorHAnsi" w:cstheme="majorHAnsi"/>
                <w:sz w:val="21"/>
                <w:szCs w:val="21"/>
              </w:rPr>
              <w:t xml:space="preserve">PHARMAC’s budget is out of scope of this review. However, the fundamental challenge with PHARMAC is that there is simply not enough funding for it to fulfil its mandate. PHARMAC has a legislative obligation to work within its budget. The consequence is that </w:t>
            </w:r>
            <w:r w:rsidRPr="00497010">
              <w:rPr>
                <w:rFonts w:asciiTheme="majorHAnsi" w:hAnsiTheme="majorHAnsi" w:cstheme="majorHAnsi"/>
                <w:b/>
                <w:bCs/>
                <w:sz w:val="21"/>
                <w:szCs w:val="21"/>
              </w:rPr>
              <w:t>no one within government is championing the need for increased medicines budget</w:t>
            </w:r>
            <w:r>
              <w:rPr>
                <w:rFonts w:asciiTheme="majorHAnsi" w:hAnsiTheme="majorHAnsi" w:cstheme="majorHAnsi"/>
                <w:sz w:val="21"/>
                <w:szCs w:val="21"/>
              </w:rPr>
              <w:t xml:space="preserve">. </w:t>
            </w:r>
          </w:p>
          <w:p w14:paraId="0333A0B4" w14:textId="493A5CDF" w:rsidR="009D748F" w:rsidRPr="009D748F" w:rsidRDefault="009D748F" w:rsidP="009D748F">
            <w:pPr>
              <w:ind w:left="22"/>
              <w:rPr>
                <w:rFonts w:asciiTheme="majorHAnsi" w:hAnsiTheme="majorHAnsi" w:cstheme="majorHAnsi"/>
                <w:sz w:val="21"/>
                <w:szCs w:val="21"/>
              </w:rPr>
            </w:pPr>
            <w:r>
              <w:rPr>
                <w:rFonts w:asciiTheme="majorHAnsi" w:hAnsiTheme="majorHAnsi" w:cstheme="majorHAnsi"/>
                <w:sz w:val="21"/>
                <w:szCs w:val="21"/>
              </w:rPr>
              <w:t xml:space="preserve">Unicorn Foundation NZ strongly urges the review committee to call on the government to review the budget for PHARMAC. This can best be done by the government asking PHARMAC to provide advice on the budget needed to adequately treat New Zealanders in line with international best practice. </w:t>
            </w:r>
          </w:p>
          <w:p w14:paraId="443D2D8C" w14:textId="56E68CE3" w:rsidR="00347E74" w:rsidRPr="00347E74" w:rsidRDefault="00347E74" w:rsidP="00772425"/>
        </w:tc>
      </w:tr>
    </w:tbl>
    <w:p w14:paraId="30DD11D5" w14:textId="5FC9C757" w:rsidR="003E24A4" w:rsidRDefault="003E24A4">
      <w:pPr>
        <w:rPr>
          <w:b/>
          <w:bCs/>
        </w:rPr>
      </w:pPr>
    </w:p>
    <w:p w14:paraId="25199FA7" w14:textId="77777777" w:rsidR="00BA4793" w:rsidRPr="00531C67" w:rsidRDefault="00BA4793">
      <w:pPr>
        <w:rPr>
          <w:b/>
          <w:bCs/>
        </w:rPr>
      </w:pPr>
    </w:p>
    <w:p w14:paraId="034660DC" w14:textId="77777777" w:rsidR="00B04CEE" w:rsidRDefault="00B04CEE">
      <w:pPr>
        <w:rPr>
          <w:rFonts w:eastAsiaTheme="majorEastAsia" w:cstheme="majorBidi"/>
          <w:b/>
          <w:bCs/>
          <w:sz w:val="28"/>
          <w:szCs w:val="24"/>
        </w:rPr>
      </w:pPr>
      <w:r>
        <w:rPr>
          <w:b/>
          <w:bCs/>
        </w:rPr>
        <w:br w:type="page"/>
      </w:r>
    </w:p>
    <w:p w14:paraId="5E7D2521" w14:textId="07CDF541" w:rsidR="003E24A4" w:rsidRPr="00531C67" w:rsidRDefault="0058260C" w:rsidP="003E24A4">
      <w:pPr>
        <w:pStyle w:val="Heading3"/>
        <w:spacing w:before="0"/>
        <w:rPr>
          <w:b/>
          <w:bCs/>
        </w:rPr>
      </w:pPr>
      <w:r w:rsidRPr="00531C67">
        <w:rPr>
          <w:b/>
          <w:bCs/>
        </w:rPr>
        <w:lastRenderedPageBreak/>
        <w:t xml:space="preserve">What </w:t>
      </w:r>
      <w:r w:rsidR="00D54FF0" w:rsidRPr="00531C67">
        <w:rPr>
          <w:b/>
          <w:bCs/>
        </w:rPr>
        <w:t>do you know about PHARMAC</w:t>
      </w:r>
      <w:r w:rsidR="009F7E33" w:rsidRPr="00531C67">
        <w:rPr>
          <w:b/>
          <w:bCs/>
        </w:rPr>
        <w:t>’</w:t>
      </w:r>
      <w:r w:rsidR="00D54FF0" w:rsidRPr="00531C67">
        <w:rPr>
          <w:b/>
          <w:bCs/>
        </w:rPr>
        <w:t xml:space="preserve">s </w:t>
      </w:r>
      <w:r w:rsidR="00CC4401">
        <w:rPr>
          <w:b/>
          <w:bCs/>
        </w:rPr>
        <w:t>p</w:t>
      </w:r>
      <w:r w:rsidR="003E24A4" w:rsidRPr="00531C67">
        <w:rPr>
          <w:b/>
          <w:bCs/>
        </w:rPr>
        <w:t>rocesses</w:t>
      </w:r>
      <w:r w:rsidR="00D54FF0" w:rsidRPr="00531C67">
        <w:rPr>
          <w:b/>
          <w:bCs/>
        </w:rPr>
        <w:t xml:space="preserve"> and how they work?</w:t>
      </w:r>
    </w:p>
    <w:tbl>
      <w:tblPr>
        <w:tblStyle w:val="TableGrid"/>
        <w:tblW w:w="0" w:type="auto"/>
        <w:tblLook w:val="04A0" w:firstRow="1" w:lastRow="0" w:firstColumn="1" w:lastColumn="0" w:noHBand="0" w:noVBand="1"/>
      </w:tblPr>
      <w:tblGrid>
        <w:gridCol w:w="9016"/>
      </w:tblGrid>
      <w:tr w:rsidR="001A4D8A" w14:paraId="2895A403" w14:textId="77777777" w:rsidTr="001A4D8A">
        <w:tc>
          <w:tcPr>
            <w:tcW w:w="9016" w:type="dxa"/>
          </w:tcPr>
          <w:p w14:paraId="5F8E65FC" w14:textId="2C82709E" w:rsidR="00D54FF0" w:rsidRDefault="00D54FF0" w:rsidP="00D54FF0">
            <w:pPr>
              <w:pStyle w:val="Heading4"/>
              <w:ind w:left="447" w:hanging="425"/>
              <w:outlineLvl w:val="3"/>
            </w:pPr>
            <w:r>
              <w:t>What do you think works well with the processes PHARMAC uses to assess the funding of medicines and medical devices?</w:t>
            </w:r>
          </w:p>
          <w:p w14:paraId="326C870C" w14:textId="53A13D73" w:rsidR="001A4D8A" w:rsidRDefault="001A4D8A" w:rsidP="001A4D8A">
            <w:pPr>
              <w:pStyle w:val="ListParagraph"/>
            </w:pPr>
          </w:p>
          <w:p w14:paraId="742B6083" w14:textId="2F45AC9E" w:rsidR="00347E74" w:rsidRDefault="000F71D3" w:rsidP="00641189">
            <w:pPr>
              <w:rPr>
                <w:rFonts w:asciiTheme="majorHAnsi" w:hAnsiTheme="majorHAnsi" w:cstheme="majorHAnsi"/>
                <w:sz w:val="21"/>
                <w:szCs w:val="21"/>
              </w:rPr>
            </w:pPr>
            <w:r w:rsidRPr="000F71D3">
              <w:rPr>
                <w:rFonts w:asciiTheme="majorHAnsi" w:hAnsiTheme="majorHAnsi" w:cstheme="majorHAnsi"/>
                <w:sz w:val="21"/>
                <w:szCs w:val="21"/>
              </w:rPr>
              <w:t>Unicorn Foundation NZ is grateful for PHARMAC’s contribution to getting PRRT established in New Zealand.</w:t>
            </w:r>
          </w:p>
          <w:p w14:paraId="0D6E76FA" w14:textId="77777777" w:rsidR="00CE7EB1" w:rsidRPr="000F71D3" w:rsidRDefault="00CE7EB1" w:rsidP="00641189">
            <w:pPr>
              <w:rPr>
                <w:rFonts w:asciiTheme="majorHAnsi" w:hAnsiTheme="majorHAnsi" w:cstheme="majorHAnsi"/>
                <w:sz w:val="21"/>
                <w:szCs w:val="21"/>
              </w:rPr>
            </w:pPr>
          </w:p>
          <w:p w14:paraId="6D09B5F0" w14:textId="092D85A3" w:rsidR="001A4D8A" w:rsidRDefault="001A4D8A" w:rsidP="00641189"/>
        </w:tc>
      </w:tr>
      <w:tr w:rsidR="001A4D8A" w14:paraId="37F605D9" w14:textId="77777777" w:rsidTr="001A4D8A">
        <w:tc>
          <w:tcPr>
            <w:tcW w:w="9016" w:type="dxa"/>
          </w:tcPr>
          <w:p w14:paraId="6FD98E97" w14:textId="24037027" w:rsidR="0076726F" w:rsidRDefault="0076726F" w:rsidP="0076726F">
            <w:pPr>
              <w:pStyle w:val="Heading4"/>
              <w:ind w:left="447" w:hanging="425"/>
              <w:outlineLvl w:val="3"/>
            </w:pPr>
            <w:r>
              <w:t xml:space="preserve">What do you think are the barriers to accessing medicines and devices? </w:t>
            </w:r>
          </w:p>
          <w:p w14:paraId="5819375E" w14:textId="77777777" w:rsidR="001A4D8A" w:rsidRDefault="001A4D8A" w:rsidP="001A4D8A">
            <w:pPr>
              <w:pStyle w:val="ListParagraph"/>
            </w:pPr>
          </w:p>
          <w:p w14:paraId="51185D32" w14:textId="38C5FD90" w:rsidR="00641189" w:rsidRPr="000631DB" w:rsidRDefault="000631DB" w:rsidP="00641189">
            <w:pPr>
              <w:pStyle w:val="ListParagraph"/>
              <w:numPr>
                <w:ilvl w:val="0"/>
                <w:numId w:val="22"/>
              </w:numPr>
              <w:ind w:left="460" w:hanging="460"/>
              <w:rPr>
                <w:rFonts w:asciiTheme="majorHAnsi" w:hAnsiTheme="majorHAnsi" w:cstheme="majorHAnsi"/>
                <w:b/>
                <w:bCs/>
                <w:sz w:val="21"/>
                <w:szCs w:val="21"/>
              </w:rPr>
            </w:pPr>
            <w:r>
              <w:rPr>
                <w:rFonts w:asciiTheme="majorHAnsi" w:hAnsiTheme="majorHAnsi" w:cstheme="majorHAnsi"/>
                <w:b/>
                <w:bCs/>
                <w:sz w:val="21"/>
                <w:szCs w:val="21"/>
              </w:rPr>
              <w:t>Lack of c</w:t>
            </w:r>
            <w:r w:rsidR="002E5249" w:rsidRPr="000631DB">
              <w:rPr>
                <w:rFonts w:asciiTheme="majorHAnsi" w:hAnsiTheme="majorHAnsi" w:cstheme="majorHAnsi"/>
                <w:b/>
                <w:bCs/>
                <w:sz w:val="21"/>
                <w:szCs w:val="21"/>
              </w:rPr>
              <w:t>onsisten</w:t>
            </w:r>
            <w:r>
              <w:rPr>
                <w:rFonts w:asciiTheme="majorHAnsi" w:hAnsiTheme="majorHAnsi" w:cstheme="majorHAnsi"/>
                <w:b/>
                <w:bCs/>
                <w:sz w:val="21"/>
                <w:szCs w:val="21"/>
              </w:rPr>
              <w:t>t value of life</w:t>
            </w:r>
            <w:r w:rsidR="002E5249" w:rsidRPr="000631DB">
              <w:rPr>
                <w:rFonts w:asciiTheme="majorHAnsi" w:hAnsiTheme="majorHAnsi" w:cstheme="majorHAnsi"/>
                <w:b/>
                <w:bCs/>
                <w:sz w:val="21"/>
                <w:szCs w:val="21"/>
              </w:rPr>
              <w:t xml:space="preserve"> across </w:t>
            </w:r>
            <w:r>
              <w:rPr>
                <w:rFonts w:asciiTheme="majorHAnsi" w:hAnsiTheme="majorHAnsi" w:cstheme="majorHAnsi"/>
                <w:b/>
                <w:bCs/>
                <w:sz w:val="21"/>
                <w:szCs w:val="21"/>
              </w:rPr>
              <w:t>government agencies</w:t>
            </w:r>
            <w:r w:rsidR="002E5249" w:rsidRPr="000631DB">
              <w:rPr>
                <w:rFonts w:asciiTheme="majorHAnsi" w:hAnsiTheme="majorHAnsi" w:cstheme="majorHAnsi"/>
                <w:b/>
                <w:bCs/>
                <w:sz w:val="21"/>
                <w:szCs w:val="21"/>
              </w:rPr>
              <w:t xml:space="preserve"> in New Zealand</w:t>
            </w:r>
            <w:r w:rsidR="00641189" w:rsidRPr="000631DB">
              <w:rPr>
                <w:rFonts w:asciiTheme="majorHAnsi" w:hAnsiTheme="majorHAnsi" w:cstheme="majorHAnsi"/>
                <w:b/>
                <w:bCs/>
                <w:sz w:val="21"/>
                <w:szCs w:val="21"/>
              </w:rPr>
              <w:t>.</w:t>
            </w:r>
          </w:p>
          <w:p w14:paraId="07C9627B" w14:textId="6F4D9FC6" w:rsidR="002E5249" w:rsidRPr="000631DB" w:rsidRDefault="002E5249" w:rsidP="002E5249">
            <w:pPr>
              <w:rPr>
                <w:rFonts w:asciiTheme="majorHAnsi" w:hAnsiTheme="majorHAnsi" w:cstheme="majorHAnsi"/>
                <w:sz w:val="21"/>
                <w:szCs w:val="21"/>
              </w:rPr>
            </w:pPr>
            <w:r w:rsidRPr="000631DB">
              <w:rPr>
                <w:rFonts w:asciiTheme="majorHAnsi" w:hAnsiTheme="majorHAnsi" w:cstheme="majorHAnsi"/>
                <w:sz w:val="21"/>
                <w:szCs w:val="21"/>
              </w:rPr>
              <w:t xml:space="preserve">In the transport sector, the value of a statistical life in Treasury’s </w:t>
            </w:r>
            <w:proofErr w:type="spellStart"/>
            <w:r w:rsidRPr="000631DB">
              <w:rPr>
                <w:rFonts w:asciiTheme="majorHAnsi" w:hAnsiTheme="majorHAnsi" w:cstheme="majorHAnsi"/>
                <w:sz w:val="21"/>
                <w:szCs w:val="21"/>
              </w:rPr>
              <w:t>CBAx</w:t>
            </w:r>
            <w:proofErr w:type="spellEnd"/>
            <w:r w:rsidRPr="000631DB">
              <w:rPr>
                <w:rFonts w:asciiTheme="majorHAnsi" w:hAnsiTheme="majorHAnsi" w:cstheme="majorHAnsi"/>
                <w:sz w:val="21"/>
                <w:szCs w:val="21"/>
              </w:rPr>
              <w:t xml:space="preserve"> toolbox is $4.5M. This is based on a survey that showed how much New Zealanders would be willing to pay for a safety improvement that results in the expected avoidance of one premature death (originally benchmarked at $2M in 1989/90 but updated yearly by indexing average hourly earnings). In contrast, there is no </w:t>
            </w:r>
            <w:r w:rsidRPr="00BA4793">
              <w:rPr>
                <w:rFonts w:asciiTheme="majorHAnsi" w:hAnsiTheme="majorHAnsi" w:cstheme="majorHAnsi"/>
                <w:sz w:val="21"/>
                <w:szCs w:val="21"/>
              </w:rPr>
              <w:t xml:space="preserve">explicit value of a life or cost-effectiveness threshold </w:t>
            </w:r>
            <w:r w:rsidRPr="000631DB">
              <w:rPr>
                <w:rFonts w:asciiTheme="majorHAnsi" w:hAnsiTheme="majorHAnsi" w:cstheme="majorHAnsi"/>
                <w:sz w:val="21"/>
                <w:szCs w:val="21"/>
              </w:rPr>
              <w:t>used by</w:t>
            </w:r>
            <w:r w:rsidRPr="00BA4793">
              <w:rPr>
                <w:rFonts w:asciiTheme="majorHAnsi" w:hAnsiTheme="majorHAnsi" w:cstheme="majorHAnsi"/>
                <w:sz w:val="21"/>
                <w:szCs w:val="21"/>
              </w:rPr>
              <w:t xml:space="preserve"> PHARMAC</w:t>
            </w:r>
            <w:r w:rsidRPr="000631DB">
              <w:rPr>
                <w:rFonts w:asciiTheme="majorHAnsi" w:hAnsiTheme="majorHAnsi" w:cstheme="majorHAnsi"/>
                <w:sz w:val="21"/>
                <w:szCs w:val="21"/>
              </w:rPr>
              <w:t xml:space="preserve"> for its considerations</w:t>
            </w:r>
            <w:r w:rsidRPr="00BA4793">
              <w:rPr>
                <w:rFonts w:asciiTheme="majorHAnsi" w:hAnsiTheme="majorHAnsi" w:cstheme="majorHAnsi"/>
                <w:sz w:val="21"/>
                <w:szCs w:val="21"/>
              </w:rPr>
              <w:t>.</w:t>
            </w:r>
            <w:r w:rsidRPr="000631DB">
              <w:rPr>
                <w:rFonts w:asciiTheme="majorHAnsi" w:hAnsiTheme="majorHAnsi" w:cstheme="majorHAnsi"/>
                <w:sz w:val="21"/>
                <w:szCs w:val="21"/>
              </w:rPr>
              <w:t xml:space="preserve"> This is on the grounds that cost-effectiveness is only one of nine decision criteria. </w:t>
            </w:r>
          </w:p>
          <w:p w14:paraId="410852B4" w14:textId="77777777" w:rsidR="002E5249" w:rsidRPr="000631DB" w:rsidRDefault="002E5249" w:rsidP="002E5249">
            <w:pPr>
              <w:rPr>
                <w:rFonts w:asciiTheme="majorHAnsi" w:hAnsiTheme="majorHAnsi" w:cstheme="majorHAnsi"/>
                <w:sz w:val="21"/>
                <w:szCs w:val="21"/>
              </w:rPr>
            </w:pPr>
          </w:p>
          <w:p w14:paraId="14A2DFA0" w14:textId="77777777" w:rsidR="000631DB" w:rsidRDefault="002E5249" w:rsidP="002E5249">
            <w:pPr>
              <w:rPr>
                <w:rFonts w:asciiTheme="majorHAnsi" w:hAnsiTheme="majorHAnsi" w:cstheme="majorHAnsi"/>
                <w:sz w:val="21"/>
                <w:szCs w:val="21"/>
              </w:rPr>
            </w:pPr>
            <w:r w:rsidRPr="000631DB">
              <w:rPr>
                <w:rFonts w:asciiTheme="majorHAnsi" w:hAnsiTheme="majorHAnsi" w:cstheme="majorHAnsi"/>
                <w:sz w:val="21"/>
                <w:szCs w:val="21"/>
              </w:rPr>
              <w:t xml:space="preserve">There needs to be a single, consistent value of life across all government decision making. A life is not worth more on the road than on the farm, in the home or in hospital. Decision making must be transparent and consistent. </w:t>
            </w:r>
            <w:proofErr w:type="spellStart"/>
            <w:r w:rsidRPr="000631DB">
              <w:rPr>
                <w:rFonts w:asciiTheme="majorHAnsi" w:hAnsiTheme="majorHAnsi" w:cstheme="majorHAnsi"/>
                <w:sz w:val="21"/>
                <w:szCs w:val="21"/>
              </w:rPr>
              <w:t>Pharmac</w:t>
            </w:r>
            <w:proofErr w:type="spellEnd"/>
            <w:r w:rsidRPr="000631DB">
              <w:rPr>
                <w:rFonts w:asciiTheme="majorHAnsi" w:hAnsiTheme="majorHAnsi" w:cstheme="majorHAnsi"/>
                <w:sz w:val="21"/>
                <w:szCs w:val="21"/>
              </w:rPr>
              <w:t xml:space="preserve"> and all other agencies calculating cost-effectiveness should be mandated to use the same </w:t>
            </w:r>
            <w:r w:rsidRPr="000631DB">
              <w:rPr>
                <w:rFonts w:asciiTheme="majorHAnsi" w:hAnsiTheme="majorHAnsi" w:cstheme="majorHAnsi"/>
                <w:i/>
                <w:iCs/>
                <w:sz w:val="21"/>
                <w:szCs w:val="21"/>
              </w:rPr>
              <w:t>value of life</w:t>
            </w:r>
            <w:r w:rsidRPr="000631DB">
              <w:rPr>
                <w:rFonts w:asciiTheme="majorHAnsi" w:hAnsiTheme="majorHAnsi" w:cstheme="majorHAnsi"/>
                <w:sz w:val="21"/>
                <w:szCs w:val="21"/>
              </w:rPr>
              <w:t xml:space="preserve">. </w:t>
            </w:r>
          </w:p>
          <w:p w14:paraId="3C80976E" w14:textId="77777777" w:rsidR="000631DB" w:rsidRDefault="000631DB" w:rsidP="002E5249">
            <w:pPr>
              <w:rPr>
                <w:rFonts w:asciiTheme="majorHAnsi" w:hAnsiTheme="majorHAnsi" w:cstheme="majorHAnsi"/>
                <w:sz w:val="21"/>
                <w:szCs w:val="21"/>
              </w:rPr>
            </w:pPr>
          </w:p>
          <w:p w14:paraId="1A268A4A" w14:textId="750CCA84" w:rsidR="000631DB" w:rsidRPr="000631DB" w:rsidRDefault="000631DB" w:rsidP="000631DB">
            <w:pPr>
              <w:rPr>
                <w:rFonts w:asciiTheme="majorHAnsi" w:hAnsiTheme="majorHAnsi" w:cstheme="majorHAnsi"/>
                <w:sz w:val="21"/>
                <w:szCs w:val="21"/>
              </w:rPr>
            </w:pPr>
            <w:r w:rsidRPr="000631DB">
              <w:rPr>
                <w:rFonts w:asciiTheme="majorHAnsi" w:hAnsiTheme="majorHAnsi" w:cstheme="majorHAnsi"/>
                <w:sz w:val="21"/>
                <w:szCs w:val="21"/>
              </w:rPr>
              <w:t xml:space="preserve">If </w:t>
            </w:r>
            <w:r>
              <w:rPr>
                <w:rFonts w:asciiTheme="majorHAnsi" w:hAnsiTheme="majorHAnsi" w:cstheme="majorHAnsi"/>
                <w:sz w:val="21"/>
                <w:szCs w:val="21"/>
              </w:rPr>
              <w:t xml:space="preserve">the </w:t>
            </w:r>
            <w:proofErr w:type="spellStart"/>
            <w:r w:rsidRPr="000631DB">
              <w:rPr>
                <w:rFonts w:asciiTheme="majorHAnsi" w:hAnsiTheme="majorHAnsi" w:cstheme="majorHAnsi"/>
                <w:sz w:val="21"/>
                <w:szCs w:val="21"/>
              </w:rPr>
              <w:t>Pharmac</w:t>
            </w:r>
            <w:proofErr w:type="spellEnd"/>
            <w:r w:rsidRPr="000631DB">
              <w:rPr>
                <w:rFonts w:asciiTheme="majorHAnsi" w:hAnsiTheme="majorHAnsi" w:cstheme="majorHAnsi"/>
                <w:sz w:val="21"/>
                <w:szCs w:val="21"/>
              </w:rPr>
              <w:t xml:space="preserve"> </w:t>
            </w:r>
            <w:r>
              <w:rPr>
                <w:rFonts w:asciiTheme="majorHAnsi" w:hAnsiTheme="majorHAnsi" w:cstheme="majorHAnsi"/>
                <w:sz w:val="21"/>
                <w:szCs w:val="21"/>
              </w:rPr>
              <w:t xml:space="preserve">value of life was consistent with the Treasury value of life, </w:t>
            </w:r>
            <w:r w:rsidRPr="000631DB">
              <w:rPr>
                <w:rFonts w:asciiTheme="majorHAnsi" w:hAnsiTheme="majorHAnsi" w:cstheme="majorHAnsi"/>
                <w:sz w:val="21"/>
                <w:szCs w:val="21"/>
              </w:rPr>
              <w:t xml:space="preserve">the </w:t>
            </w:r>
            <w:r>
              <w:rPr>
                <w:rFonts w:asciiTheme="majorHAnsi" w:hAnsiTheme="majorHAnsi" w:cstheme="majorHAnsi"/>
                <w:sz w:val="21"/>
                <w:szCs w:val="21"/>
              </w:rPr>
              <w:t xml:space="preserve">cost-effectiveness </w:t>
            </w:r>
            <w:r w:rsidRPr="000631DB">
              <w:rPr>
                <w:rFonts w:asciiTheme="majorHAnsi" w:hAnsiTheme="majorHAnsi" w:cstheme="majorHAnsi"/>
                <w:sz w:val="21"/>
                <w:szCs w:val="21"/>
              </w:rPr>
              <w:t xml:space="preserve">calculations </w:t>
            </w:r>
            <w:r>
              <w:rPr>
                <w:rFonts w:asciiTheme="majorHAnsi" w:hAnsiTheme="majorHAnsi" w:cstheme="majorHAnsi"/>
                <w:sz w:val="21"/>
                <w:szCs w:val="21"/>
              </w:rPr>
              <w:t xml:space="preserve">for new medicines </w:t>
            </w:r>
            <w:r w:rsidRPr="000631DB">
              <w:rPr>
                <w:rFonts w:asciiTheme="majorHAnsi" w:hAnsiTheme="majorHAnsi" w:cstheme="majorHAnsi"/>
                <w:sz w:val="21"/>
                <w:szCs w:val="21"/>
              </w:rPr>
              <w:t xml:space="preserve">would </w:t>
            </w:r>
            <w:r>
              <w:rPr>
                <w:rFonts w:asciiTheme="majorHAnsi" w:hAnsiTheme="majorHAnsi" w:cstheme="majorHAnsi"/>
                <w:sz w:val="21"/>
                <w:szCs w:val="21"/>
              </w:rPr>
              <w:t>have</w:t>
            </w:r>
            <w:r w:rsidRPr="000631DB">
              <w:rPr>
                <w:rFonts w:asciiTheme="majorHAnsi" w:hAnsiTheme="majorHAnsi" w:cstheme="majorHAnsi"/>
                <w:sz w:val="21"/>
                <w:szCs w:val="21"/>
              </w:rPr>
              <w:t xml:space="preserve"> very different</w:t>
            </w:r>
            <w:r>
              <w:rPr>
                <w:rFonts w:asciiTheme="majorHAnsi" w:hAnsiTheme="majorHAnsi" w:cstheme="majorHAnsi"/>
                <w:sz w:val="21"/>
                <w:szCs w:val="21"/>
              </w:rPr>
              <w:t xml:space="preserve"> results</w:t>
            </w:r>
            <w:r w:rsidRPr="000631DB">
              <w:rPr>
                <w:rFonts w:asciiTheme="majorHAnsi" w:hAnsiTheme="majorHAnsi" w:cstheme="majorHAnsi"/>
                <w:sz w:val="21"/>
                <w:szCs w:val="21"/>
              </w:rPr>
              <w:t xml:space="preserve">. </w:t>
            </w:r>
            <w:r>
              <w:rPr>
                <w:rFonts w:asciiTheme="majorHAnsi" w:hAnsiTheme="majorHAnsi" w:cstheme="majorHAnsi"/>
                <w:sz w:val="21"/>
                <w:szCs w:val="21"/>
              </w:rPr>
              <w:t>It is likely that m</w:t>
            </w:r>
            <w:r w:rsidRPr="000631DB">
              <w:rPr>
                <w:rFonts w:asciiTheme="majorHAnsi" w:hAnsiTheme="majorHAnsi" w:cstheme="majorHAnsi"/>
                <w:sz w:val="21"/>
                <w:szCs w:val="21"/>
              </w:rPr>
              <w:t xml:space="preserve">any more would qualify for funding - which would make the problem ’the amount of funding provided’ under </w:t>
            </w:r>
            <w:r>
              <w:rPr>
                <w:rFonts w:asciiTheme="majorHAnsi" w:hAnsiTheme="majorHAnsi" w:cstheme="majorHAnsi"/>
                <w:sz w:val="21"/>
                <w:szCs w:val="21"/>
              </w:rPr>
              <w:t>PHARMAC’s</w:t>
            </w:r>
            <w:r w:rsidRPr="000631DB">
              <w:rPr>
                <w:rFonts w:asciiTheme="majorHAnsi" w:hAnsiTheme="majorHAnsi" w:cstheme="majorHAnsi"/>
                <w:sz w:val="21"/>
                <w:szCs w:val="21"/>
              </w:rPr>
              <w:t xml:space="preserve"> statutory purpose. Instead, the </w:t>
            </w:r>
            <w:r>
              <w:rPr>
                <w:rFonts w:asciiTheme="majorHAnsi" w:hAnsiTheme="majorHAnsi" w:cstheme="majorHAnsi"/>
                <w:sz w:val="21"/>
                <w:szCs w:val="21"/>
              </w:rPr>
              <w:t xml:space="preserve">current </w:t>
            </w:r>
            <w:r w:rsidRPr="000631DB">
              <w:rPr>
                <w:rFonts w:asciiTheme="majorHAnsi" w:hAnsiTheme="majorHAnsi" w:cstheme="majorHAnsi"/>
                <w:sz w:val="21"/>
                <w:szCs w:val="21"/>
              </w:rPr>
              <w:t xml:space="preserve">calculations </w:t>
            </w:r>
            <w:r>
              <w:rPr>
                <w:rFonts w:asciiTheme="majorHAnsi" w:hAnsiTheme="majorHAnsi" w:cstheme="majorHAnsi"/>
                <w:sz w:val="21"/>
                <w:szCs w:val="21"/>
              </w:rPr>
              <w:t>use values low enough that</w:t>
            </w:r>
            <w:r w:rsidRPr="000631DB">
              <w:rPr>
                <w:rFonts w:asciiTheme="majorHAnsi" w:hAnsiTheme="majorHAnsi" w:cstheme="majorHAnsi"/>
                <w:sz w:val="21"/>
                <w:szCs w:val="21"/>
              </w:rPr>
              <w:t xml:space="preserve"> medicines don’t qualify for funding - so the amount of funding provided isn’t the issue.  </w:t>
            </w:r>
            <w:r>
              <w:rPr>
                <w:rFonts w:asciiTheme="majorHAnsi" w:hAnsiTheme="majorHAnsi" w:cstheme="majorHAnsi"/>
                <w:sz w:val="21"/>
                <w:szCs w:val="21"/>
              </w:rPr>
              <w:t>It appears that PHARMAC uses an artificially low value of life in order to fit</w:t>
            </w:r>
            <w:r w:rsidRPr="000631DB">
              <w:rPr>
                <w:rFonts w:asciiTheme="majorHAnsi" w:hAnsiTheme="majorHAnsi" w:cstheme="majorHAnsi"/>
                <w:sz w:val="21"/>
                <w:szCs w:val="21"/>
              </w:rPr>
              <w:t xml:space="preserve"> within </w:t>
            </w:r>
            <w:r>
              <w:rPr>
                <w:rFonts w:asciiTheme="majorHAnsi" w:hAnsiTheme="majorHAnsi" w:cstheme="majorHAnsi"/>
                <w:sz w:val="21"/>
                <w:szCs w:val="21"/>
              </w:rPr>
              <w:t>their funding</w:t>
            </w:r>
            <w:r w:rsidRPr="000631DB">
              <w:rPr>
                <w:rFonts w:asciiTheme="majorHAnsi" w:hAnsiTheme="majorHAnsi" w:cstheme="majorHAnsi"/>
                <w:sz w:val="21"/>
                <w:szCs w:val="21"/>
              </w:rPr>
              <w:t xml:space="preserve"> envelope.</w:t>
            </w:r>
            <w:r>
              <w:rPr>
                <w:rFonts w:asciiTheme="majorHAnsi" w:hAnsiTheme="majorHAnsi" w:cstheme="majorHAnsi"/>
                <w:sz w:val="21"/>
                <w:szCs w:val="21"/>
              </w:rPr>
              <w:t xml:space="preserve"> In doing this, PHARMAC is failing in its statutory duty to “</w:t>
            </w:r>
            <w:r w:rsidRPr="00641189">
              <w:rPr>
                <w:rFonts w:asciiTheme="majorHAnsi" w:hAnsiTheme="majorHAnsi" w:cstheme="majorHAnsi"/>
                <w:sz w:val="21"/>
                <w:szCs w:val="21"/>
              </w:rPr>
              <w:t>secur</w:t>
            </w:r>
            <w:r>
              <w:rPr>
                <w:rFonts w:asciiTheme="majorHAnsi" w:hAnsiTheme="majorHAnsi" w:cstheme="majorHAnsi"/>
                <w:sz w:val="21"/>
                <w:szCs w:val="21"/>
              </w:rPr>
              <w:t>e</w:t>
            </w:r>
            <w:r w:rsidRPr="00641189">
              <w:rPr>
                <w:rFonts w:asciiTheme="majorHAnsi" w:hAnsiTheme="majorHAnsi" w:cstheme="majorHAnsi"/>
                <w:sz w:val="21"/>
                <w:szCs w:val="21"/>
              </w:rPr>
              <w:t xml:space="preserve"> for eligible people in need of pharmaceuticals, the best health outcomes that are reasonably achievable from pharmaceutical treatment</w:t>
            </w:r>
            <w:r>
              <w:rPr>
                <w:rFonts w:asciiTheme="majorHAnsi" w:hAnsiTheme="majorHAnsi" w:cstheme="majorHAnsi"/>
                <w:sz w:val="21"/>
                <w:szCs w:val="21"/>
              </w:rPr>
              <w:t>”.</w:t>
            </w:r>
          </w:p>
          <w:p w14:paraId="65F79BC4" w14:textId="1F5FAE18" w:rsidR="000631DB" w:rsidRDefault="000631DB" w:rsidP="002E5249">
            <w:pPr>
              <w:rPr>
                <w:rFonts w:asciiTheme="majorHAnsi" w:hAnsiTheme="majorHAnsi" w:cstheme="majorHAnsi"/>
                <w:sz w:val="21"/>
                <w:szCs w:val="21"/>
              </w:rPr>
            </w:pPr>
          </w:p>
          <w:p w14:paraId="5DCADD21" w14:textId="0230AF72" w:rsidR="000631DB" w:rsidRPr="000631DB" w:rsidRDefault="000631DB" w:rsidP="000631DB">
            <w:pPr>
              <w:pStyle w:val="ListParagraph"/>
              <w:numPr>
                <w:ilvl w:val="0"/>
                <w:numId w:val="22"/>
              </w:numPr>
              <w:ind w:left="460" w:hanging="460"/>
              <w:rPr>
                <w:rFonts w:asciiTheme="majorHAnsi" w:hAnsiTheme="majorHAnsi" w:cstheme="majorHAnsi"/>
                <w:b/>
                <w:bCs/>
                <w:sz w:val="21"/>
                <w:szCs w:val="21"/>
              </w:rPr>
            </w:pPr>
            <w:r>
              <w:rPr>
                <w:rFonts w:asciiTheme="majorHAnsi" w:hAnsiTheme="majorHAnsi" w:cstheme="majorHAnsi"/>
                <w:b/>
                <w:bCs/>
                <w:sz w:val="21"/>
                <w:szCs w:val="21"/>
              </w:rPr>
              <w:t>Heterogeneity of disease presentation</w:t>
            </w:r>
            <w:r w:rsidRPr="000631DB">
              <w:rPr>
                <w:rFonts w:asciiTheme="majorHAnsi" w:hAnsiTheme="majorHAnsi" w:cstheme="majorHAnsi"/>
                <w:b/>
                <w:bCs/>
                <w:sz w:val="21"/>
                <w:szCs w:val="21"/>
              </w:rPr>
              <w:t>.</w:t>
            </w:r>
          </w:p>
          <w:p w14:paraId="4A921EA5" w14:textId="6B8DEE08" w:rsidR="000631DB" w:rsidRDefault="00530D67" w:rsidP="000631DB">
            <w:pPr>
              <w:rPr>
                <w:rFonts w:asciiTheme="majorHAnsi" w:hAnsiTheme="majorHAnsi" w:cstheme="majorHAnsi"/>
                <w:sz w:val="21"/>
                <w:szCs w:val="21"/>
              </w:rPr>
            </w:pPr>
            <w:r>
              <w:rPr>
                <w:rFonts w:asciiTheme="majorHAnsi" w:hAnsiTheme="majorHAnsi" w:cstheme="majorHAnsi"/>
                <w:sz w:val="21"/>
                <w:szCs w:val="21"/>
              </w:rPr>
              <w:t xml:space="preserve">PHARMAC’s system is designed for conditions that have a clear clinical care pathway. That is, where a person presents with a specific disease or condition, and there is a best practice treatment pathway, that may include a specific medicine or a progression of medicines. This means PHARMAC can use their purchasing system to obtain the best possible rate for a category of medicine, based on the bulk volumes for the prevalence of the condition/disease. </w:t>
            </w:r>
          </w:p>
          <w:p w14:paraId="718EC81C" w14:textId="0D9FD967" w:rsidR="00530D67" w:rsidRDefault="00530D67" w:rsidP="000631DB">
            <w:pPr>
              <w:rPr>
                <w:rFonts w:asciiTheme="majorHAnsi" w:hAnsiTheme="majorHAnsi" w:cstheme="majorHAnsi"/>
                <w:sz w:val="21"/>
                <w:szCs w:val="21"/>
              </w:rPr>
            </w:pPr>
          </w:p>
          <w:p w14:paraId="6B85E522" w14:textId="75F4A26F" w:rsidR="00530D67" w:rsidRDefault="00530D67" w:rsidP="000631DB">
            <w:pPr>
              <w:rPr>
                <w:rFonts w:asciiTheme="majorHAnsi" w:hAnsiTheme="majorHAnsi" w:cstheme="majorHAnsi"/>
                <w:sz w:val="21"/>
                <w:szCs w:val="21"/>
              </w:rPr>
            </w:pPr>
            <w:r>
              <w:rPr>
                <w:rFonts w:asciiTheme="majorHAnsi" w:hAnsiTheme="majorHAnsi" w:cstheme="majorHAnsi"/>
                <w:sz w:val="21"/>
                <w:szCs w:val="21"/>
              </w:rPr>
              <w:t xml:space="preserve">Neuroendocrine cancer does not fit </w:t>
            </w:r>
            <w:r w:rsidR="000F71D3">
              <w:rPr>
                <w:rFonts w:asciiTheme="majorHAnsi" w:hAnsiTheme="majorHAnsi" w:cstheme="majorHAnsi"/>
                <w:sz w:val="21"/>
                <w:szCs w:val="21"/>
              </w:rPr>
              <w:t>the PHARMAC</w:t>
            </w:r>
            <w:r>
              <w:rPr>
                <w:rFonts w:asciiTheme="majorHAnsi" w:hAnsiTheme="majorHAnsi" w:cstheme="majorHAnsi"/>
                <w:sz w:val="21"/>
                <w:szCs w:val="21"/>
              </w:rPr>
              <w:t xml:space="preserve"> model. Based on research data, there are between 2,000 and 3,000 New Zealanders living with neuroendocrine cancer. These patients all have the same type of cancer, but the presentation for every patient is different. This is a complex cancer to treat, which is why New Zealand has a nationwide multidisciplinary meeting every week, which brings together a diverse set of specialists to assess cases and decide on the best treatment pathway. </w:t>
            </w:r>
          </w:p>
          <w:p w14:paraId="7FD93EFB" w14:textId="27B03DEB" w:rsidR="00530D67" w:rsidRDefault="00530D67" w:rsidP="00530D67">
            <w:pPr>
              <w:spacing w:before="100" w:beforeAutospacing="1" w:after="100" w:afterAutospacing="1"/>
              <w:rPr>
                <w:rFonts w:asciiTheme="majorHAnsi" w:hAnsiTheme="majorHAnsi"/>
                <w:sz w:val="21"/>
              </w:rPr>
            </w:pPr>
            <w:r>
              <w:rPr>
                <w:rFonts w:asciiTheme="majorHAnsi" w:hAnsiTheme="majorHAnsi"/>
                <w:sz w:val="21"/>
              </w:rPr>
              <w:t xml:space="preserve">No two neuroendocrine cancers are the same. Every patient has a unique presentation, unique set of symptoms and requires a tailored treatment regimen. </w:t>
            </w:r>
            <w:r w:rsidRPr="000A7CE1">
              <w:rPr>
                <w:rFonts w:asciiTheme="majorHAnsi" w:hAnsiTheme="majorHAnsi"/>
                <w:sz w:val="21"/>
              </w:rPr>
              <w:t xml:space="preserve">Because </w:t>
            </w:r>
            <w:r>
              <w:rPr>
                <w:rFonts w:asciiTheme="majorHAnsi" w:hAnsiTheme="majorHAnsi"/>
                <w:sz w:val="21"/>
              </w:rPr>
              <w:t xml:space="preserve">of the heterogeneous nature of </w:t>
            </w:r>
            <w:r w:rsidRPr="000A7CE1">
              <w:rPr>
                <w:rFonts w:asciiTheme="majorHAnsi" w:hAnsiTheme="majorHAnsi"/>
                <w:sz w:val="21"/>
              </w:rPr>
              <w:t>neuroendocrine cancer</w:t>
            </w:r>
            <w:r>
              <w:rPr>
                <w:rFonts w:asciiTheme="majorHAnsi" w:hAnsiTheme="majorHAnsi"/>
                <w:sz w:val="21"/>
              </w:rPr>
              <w:t>s, they are complex to treat and standardised patient pathways are not possible.</w:t>
            </w:r>
          </w:p>
          <w:p w14:paraId="7CBD3823" w14:textId="3C81E64C" w:rsidR="00D96A8C" w:rsidRPr="00F1294A" w:rsidRDefault="00530D67" w:rsidP="00F1294A">
            <w:pPr>
              <w:spacing w:before="100" w:beforeAutospacing="1" w:after="100" w:afterAutospacing="1"/>
              <w:rPr>
                <w:rFonts w:asciiTheme="majorHAnsi" w:hAnsiTheme="majorHAnsi"/>
                <w:sz w:val="21"/>
              </w:rPr>
            </w:pPr>
            <w:r>
              <w:rPr>
                <w:rFonts w:asciiTheme="majorHAnsi" w:hAnsiTheme="majorHAnsi"/>
                <w:sz w:val="21"/>
              </w:rPr>
              <w:t xml:space="preserve">For example Unicorn Foundation NZ data shows that among approximately 3,000 New Zealanders with neuroendocrine cancer, only 1-2% </w:t>
            </w:r>
            <w:r w:rsidR="000F71D3">
              <w:rPr>
                <w:rFonts w:asciiTheme="majorHAnsi" w:hAnsiTheme="majorHAnsi"/>
                <w:sz w:val="21"/>
              </w:rPr>
              <w:t xml:space="preserve">each year </w:t>
            </w:r>
            <w:r>
              <w:rPr>
                <w:rFonts w:asciiTheme="majorHAnsi" w:hAnsiTheme="majorHAnsi"/>
                <w:sz w:val="21"/>
              </w:rPr>
              <w:t xml:space="preserve">are likely to be suitable candidates for specific treatments such as PRRT </w:t>
            </w:r>
            <w:r w:rsidR="000F71D3">
              <w:rPr>
                <w:rFonts w:asciiTheme="majorHAnsi" w:hAnsiTheme="majorHAnsi"/>
                <w:sz w:val="21"/>
              </w:rPr>
              <w:t xml:space="preserve">(recently established in NZ) </w:t>
            </w:r>
            <w:r>
              <w:rPr>
                <w:rFonts w:asciiTheme="majorHAnsi" w:hAnsiTheme="majorHAnsi"/>
                <w:sz w:val="21"/>
              </w:rPr>
              <w:t xml:space="preserve">or </w:t>
            </w:r>
            <w:r w:rsidR="000F71D3">
              <w:rPr>
                <w:rFonts w:asciiTheme="majorHAnsi" w:hAnsiTheme="majorHAnsi"/>
                <w:sz w:val="21"/>
              </w:rPr>
              <w:t xml:space="preserve">Selective Internal Radiation Therapy (SIRT, unfunded in NZ) </w:t>
            </w:r>
            <w:r w:rsidR="000F71D3">
              <w:rPr>
                <w:rFonts w:asciiTheme="majorHAnsi" w:hAnsiTheme="majorHAnsi"/>
                <w:sz w:val="21"/>
              </w:rPr>
              <w:lastRenderedPageBreak/>
              <w:t xml:space="preserve">or </w:t>
            </w:r>
            <w:proofErr w:type="spellStart"/>
            <w:r>
              <w:rPr>
                <w:rFonts w:asciiTheme="majorHAnsi" w:hAnsiTheme="majorHAnsi"/>
                <w:sz w:val="21"/>
              </w:rPr>
              <w:t>Everolimus</w:t>
            </w:r>
            <w:proofErr w:type="spellEnd"/>
            <w:r w:rsidR="000F71D3">
              <w:rPr>
                <w:rFonts w:asciiTheme="majorHAnsi" w:hAnsiTheme="majorHAnsi"/>
                <w:sz w:val="21"/>
              </w:rPr>
              <w:t xml:space="preserve"> (unfunded in NZ). PHARMAC touts the </w:t>
            </w:r>
            <w:r w:rsidR="000F71D3" w:rsidRPr="002D3CA0">
              <w:rPr>
                <w:rFonts w:asciiTheme="majorHAnsi" w:hAnsiTheme="majorHAnsi"/>
                <w:sz w:val="21"/>
              </w:rPr>
              <w:t xml:space="preserve">NPPA </w:t>
            </w:r>
            <w:r w:rsidR="000F71D3">
              <w:rPr>
                <w:rFonts w:asciiTheme="majorHAnsi" w:hAnsiTheme="majorHAnsi"/>
                <w:sz w:val="21"/>
              </w:rPr>
              <w:t>p</w:t>
            </w:r>
            <w:r w:rsidR="000F71D3" w:rsidRPr="002D3CA0">
              <w:rPr>
                <w:rFonts w:asciiTheme="majorHAnsi" w:hAnsiTheme="majorHAnsi"/>
                <w:sz w:val="21"/>
              </w:rPr>
              <w:t xml:space="preserve">olicy </w:t>
            </w:r>
            <w:r w:rsidR="000F71D3">
              <w:rPr>
                <w:rFonts w:asciiTheme="majorHAnsi" w:hAnsiTheme="majorHAnsi"/>
                <w:sz w:val="21"/>
              </w:rPr>
              <w:t>as being designed to support</w:t>
            </w:r>
            <w:r w:rsidR="000F71D3" w:rsidRPr="002D3CA0">
              <w:rPr>
                <w:rFonts w:asciiTheme="majorHAnsi" w:hAnsiTheme="majorHAnsi"/>
                <w:sz w:val="21"/>
              </w:rPr>
              <w:t xml:space="preserve"> individuals </w:t>
            </w:r>
            <w:r w:rsidR="000F71D3">
              <w:rPr>
                <w:rFonts w:asciiTheme="majorHAnsi" w:hAnsiTheme="majorHAnsi"/>
                <w:sz w:val="21"/>
              </w:rPr>
              <w:t xml:space="preserve">that </w:t>
            </w:r>
            <w:r w:rsidR="000F71D3" w:rsidRPr="002D3CA0">
              <w:rPr>
                <w:rFonts w:asciiTheme="majorHAnsi" w:hAnsiTheme="majorHAnsi"/>
                <w:sz w:val="21"/>
              </w:rPr>
              <w:t>have specific clinical circumstances that may be different to a wider patient population.</w:t>
            </w:r>
            <w:r w:rsidR="000F71D3">
              <w:rPr>
                <w:rFonts w:asciiTheme="majorHAnsi" w:hAnsiTheme="majorHAnsi"/>
                <w:sz w:val="21"/>
              </w:rPr>
              <w:t xml:space="preserve"> But in practice these applications are routinely declined. Our patients consistently fall through the gaps – 30-60 patients per annum needing a specific treatment is too many to qualify for NPPA and too few to justify listing on the pharmaceutical schedule. </w:t>
            </w:r>
          </w:p>
          <w:p w14:paraId="095C60B0" w14:textId="11015F99" w:rsidR="00D96A8C" w:rsidRDefault="00D96A8C" w:rsidP="00347E74"/>
        </w:tc>
      </w:tr>
      <w:tr w:rsidR="00653E84" w14:paraId="47BD14BC" w14:textId="77777777" w:rsidTr="001A4D8A">
        <w:tc>
          <w:tcPr>
            <w:tcW w:w="9016" w:type="dxa"/>
          </w:tcPr>
          <w:p w14:paraId="36BAECAA" w14:textId="08092205" w:rsidR="00653E84" w:rsidRPr="00653E84" w:rsidRDefault="00653E84" w:rsidP="00653E84">
            <w:pPr>
              <w:pStyle w:val="Heading4"/>
              <w:ind w:left="447" w:hanging="425"/>
              <w:outlineLvl w:val="3"/>
            </w:pPr>
            <w:r>
              <w:lastRenderedPageBreak/>
              <w:t>Is there any other country that does it better? What is it that it does better and would any of those systems apply here?</w:t>
            </w:r>
          </w:p>
          <w:p w14:paraId="3C15FE97" w14:textId="4E234FE4" w:rsidR="00653E84" w:rsidRDefault="00653E84" w:rsidP="00653E84">
            <w:pPr>
              <w:pStyle w:val="ListParagraph"/>
            </w:pPr>
          </w:p>
          <w:p w14:paraId="6B414AAE" w14:textId="77777777" w:rsidR="00497010" w:rsidRDefault="00497010" w:rsidP="00497010">
            <w:pPr>
              <w:rPr>
                <w:rFonts w:asciiTheme="majorHAnsi" w:hAnsiTheme="majorHAnsi" w:cstheme="majorHAnsi"/>
                <w:sz w:val="21"/>
                <w:szCs w:val="21"/>
              </w:rPr>
            </w:pPr>
          </w:p>
          <w:p w14:paraId="42DAD5DE" w14:textId="1EE3C8EF" w:rsidR="00497010" w:rsidRPr="00497010" w:rsidRDefault="00497010" w:rsidP="00497010">
            <w:pPr>
              <w:rPr>
                <w:rFonts w:asciiTheme="majorHAnsi" w:hAnsiTheme="majorHAnsi" w:cstheme="majorHAnsi"/>
                <w:b/>
                <w:bCs/>
                <w:sz w:val="21"/>
                <w:szCs w:val="21"/>
              </w:rPr>
            </w:pPr>
            <w:r>
              <w:rPr>
                <w:rFonts w:asciiTheme="majorHAnsi" w:hAnsiTheme="majorHAnsi" w:cstheme="majorHAnsi"/>
                <w:b/>
                <w:bCs/>
                <w:sz w:val="21"/>
                <w:szCs w:val="21"/>
              </w:rPr>
              <w:t>Australia</w:t>
            </w:r>
          </w:p>
          <w:p w14:paraId="604B8BC6" w14:textId="3146B8E2" w:rsidR="00497010" w:rsidRDefault="00497010" w:rsidP="00497010">
            <w:pPr>
              <w:rPr>
                <w:rFonts w:asciiTheme="majorHAnsi" w:hAnsiTheme="majorHAnsi" w:cstheme="majorHAnsi"/>
                <w:sz w:val="21"/>
                <w:szCs w:val="21"/>
              </w:rPr>
            </w:pPr>
            <w:r>
              <w:rPr>
                <w:rFonts w:asciiTheme="majorHAnsi" w:hAnsiTheme="majorHAnsi" w:cstheme="majorHAnsi"/>
                <w:sz w:val="21"/>
                <w:szCs w:val="21"/>
              </w:rPr>
              <w:t xml:space="preserve">Neuroendocrine cancer patients in Australia have better access to medicines. The Australian system also allows side-by-side treatment of public and private patients in centres of excellence such as the Peter MacCallum Cancer Centre in Melbourne. This is a </w:t>
            </w:r>
            <w:r w:rsidR="00D81344">
              <w:rPr>
                <w:rFonts w:asciiTheme="majorHAnsi" w:hAnsiTheme="majorHAnsi" w:cstheme="majorHAnsi"/>
                <w:sz w:val="21"/>
                <w:szCs w:val="21"/>
              </w:rPr>
              <w:t>model that New Zealand should consider as part of the restructure of the health sector</w:t>
            </w:r>
            <w:r>
              <w:rPr>
                <w:rFonts w:asciiTheme="majorHAnsi" w:hAnsiTheme="majorHAnsi" w:cstheme="majorHAnsi"/>
                <w:sz w:val="21"/>
                <w:szCs w:val="21"/>
              </w:rPr>
              <w:t xml:space="preserve">. </w:t>
            </w:r>
          </w:p>
          <w:p w14:paraId="47F61CD6" w14:textId="77777777" w:rsidR="00653E84" w:rsidRDefault="00653E84" w:rsidP="00D81344"/>
        </w:tc>
      </w:tr>
    </w:tbl>
    <w:p w14:paraId="1AB49686" w14:textId="1CFF5BE3" w:rsidR="0076726F" w:rsidRDefault="0076726F"/>
    <w:p w14:paraId="0B74D8B4" w14:textId="082C8F5F" w:rsidR="0076726F" w:rsidRPr="00531C67" w:rsidRDefault="007A3A4E" w:rsidP="00F764D8">
      <w:pPr>
        <w:pStyle w:val="Heading3"/>
        <w:spacing w:before="0"/>
        <w:rPr>
          <w:b/>
          <w:bCs/>
        </w:rPr>
      </w:pPr>
      <w:r w:rsidRPr="00531C67">
        <w:rPr>
          <w:b/>
          <w:bCs/>
        </w:rPr>
        <w:t>What should PHARMAC</w:t>
      </w:r>
      <w:r w:rsidR="009F7E33" w:rsidRPr="00531C67">
        <w:rPr>
          <w:b/>
          <w:bCs/>
        </w:rPr>
        <w:t>’</w:t>
      </w:r>
      <w:r w:rsidRPr="00531C67">
        <w:rPr>
          <w:b/>
          <w:bCs/>
        </w:rPr>
        <w:t>s role include in the future?</w:t>
      </w:r>
    </w:p>
    <w:tbl>
      <w:tblPr>
        <w:tblStyle w:val="TableGrid"/>
        <w:tblW w:w="0" w:type="auto"/>
        <w:tblLook w:val="04A0" w:firstRow="1" w:lastRow="0" w:firstColumn="1" w:lastColumn="0" w:noHBand="0" w:noVBand="1"/>
      </w:tblPr>
      <w:tblGrid>
        <w:gridCol w:w="9016"/>
      </w:tblGrid>
      <w:tr w:rsidR="00F764D8" w14:paraId="7118B3B2" w14:textId="77777777" w:rsidTr="001A4D8A">
        <w:tc>
          <w:tcPr>
            <w:tcW w:w="9016" w:type="dxa"/>
          </w:tcPr>
          <w:p w14:paraId="41E4D54E" w14:textId="46B8A1C0" w:rsidR="00F764D8" w:rsidRDefault="00F764D8" w:rsidP="0016748E">
            <w:pPr>
              <w:pStyle w:val="Heading4"/>
              <w:ind w:left="447" w:hanging="425"/>
              <w:outlineLvl w:val="3"/>
            </w:pPr>
            <w:r>
              <w:t>How might PHARMAC look in the future? And what needs to change for this to happen</w:t>
            </w:r>
            <w:r w:rsidR="00CC4401">
              <w:t>?</w:t>
            </w:r>
          </w:p>
          <w:p w14:paraId="2E076A4F" w14:textId="77777777" w:rsidR="00F764D8" w:rsidRPr="00317AA2" w:rsidRDefault="00F764D8" w:rsidP="0016748E">
            <w:pPr>
              <w:ind w:left="447" w:hanging="425"/>
              <w:rPr>
                <w:rFonts w:asciiTheme="majorHAnsi" w:hAnsiTheme="majorHAnsi" w:cstheme="majorHAnsi"/>
                <w:sz w:val="21"/>
                <w:szCs w:val="21"/>
              </w:rPr>
            </w:pPr>
          </w:p>
          <w:p w14:paraId="4E50F7B3" w14:textId="232198D3" w:rsidR="00F764D8" w:rsidRPr="00317AA2" w:rsidRDefault="00317AA2" w:rsidP="00317AA2">
            <w:pPr>
              <w:ind w:left="35" w:hanging="13"/>
              <w:rPr>
                <w:rFonts w:asciiTheme="majorHAnsi" w:hAnsiTheme="majorHAnsi" w:cstheme="majorHAnsi"/>
                <w:sz w:val="21"/>
                <w:szCs w:val="21"/>
              </w:rPr>
            </w:pPr>
            <w:r w:rsidRPr="00317AA2">
              <w:rPr>
                <w:rFonts w:asciiTheme="majorHAnsi" w:hAnsiTheme="majorHAnsi" w:cstheme="majorHAnsi"/>
                <w:sz w:val="21"/>
                <w:szCs w:val="21"/>
              </w:rPr>
              <w:t xml:space="preserve">Cancer care is changing, and PHARMAC’s current structure is unable to address the heterogeneity of cancers. </w:t>
            </w:r>
            <w:r>
              <w:rPr>
                <w:rFonts w:asciiTheme="majorHAnsi" w:hAnsiTheme="majorHAnsi" w:cstheme="majorHAnsi"/>
                <w:sz w:val="21"/>
                <w:szCs w:val="21"/>
              </w:rPr>
              <w:t xml:space="preserve">PHARMAC needs to shift to a model of </w:t>
            </w:r>
            <w:r w:rsidR="001D2CAD">
              <w:rPr>
                <w:rFonts w:asciiTheme="majorHAnsi" w:hAnsiTheme="majorHAnsi" w:cstheme="majorHAnsi"/>
                <w:sz w:val="21"/>
                <w:szCs w:val="21"/>
              </w:rPr>
              <w:t xml:space="preserve">personalised medicine. This means focusing on, and funding, the individual who needs treatment. This is also a route to address inequities in health, as the treatment can be </w:t>
            </w:r>
            <w:proofErr w:type="spellStart"/>
            <w:r w:rsidR="001D2CAD">
              <w:rPr>
                <w:rFonts w:asciiTheme="majorHAnsi" w:hAnsiTheme="majorHAnsi" w:cstheme="majorHAnsi"/>
                <w:sz w:val="21"/>
                <w:szCs w:val="21"/>
              </w:rPr>
              <w:t>whānau</w:t>
            </w:r>
            <w:proofErr w:type="spellEnd"/>
            <w:r w:rsidR="001D2CAD">
              <w:rPr>
                <w:rFonts w:asciiTheme="majorHAnsi" w:hAnsiTheme="majorHAnsi" w:cstheme="majorHAnsi"/>
                <w:sz w:val="21"/>
                <w:szCs w:val="21"/>
              </w:rPr>
              <w:t xml:space="preserve">-centric and account for the worldview of the person with cancer and their family. </w:t>
            </w:r>
          </w:p>
          <w:p w14:paraId="67B390D6" w14:textId="77777777" w:rsidR="00F764D8" w:rsidRPr="00317AA2" w:rsidRDefault="00F764D8" w:rsidP="0016748E">
            <w:pPr>
              <w:ind w:left="447" w:hanging="425"/>
              <w:rPr>
                <w:rFonts w:asciiTheme="majorHAnsi" w:hAnsiTheme="majorHAnsi" w:cstheme="majorHAnsi"/>
                <w:sz w:val="21"/>
                <w:szCs w:val="21"/>
              </w:rPr>
            </w:pPr>
          </w:p>
          <w:p w14:paraId="0FF97C0D" w14:textId="133B5EE1" w:rsidR="00F764D8" w:rsidRPr="00F764D8" w:rsidRDefault="00F764D8" w:rsidP="0016748E">
            <w:pPr>
              <w:ind w:left="447" w:hanging="425"/>
            </w:pPr>
          </w:p>
        </w:tc>
      </w:tr>
      <w:tr w:rsidR="00F764D8" w14:paraId="76E0EAEF" w14:textId="77777777" w:rsidTr="001A4D8A">
        <w:tc>
          <w:tcPr>
            <w:tcW w:w="9016" w:type="dxa"/>
          </w:tcPr>
          <w:p w14:paraId="4B36CA0C" w14:textId="4A3BD812" w:rsidR="00F764D8" w:rsidRDefault="00F764D8" w:rsidP="0016748E">
            <w:pPr>
              <w:pStyle w:val="Heading4"/>
              <w:ind w:left="447" w:hanging="425"/>
              <w:outlineLvl w:val="3"/>
            </w:pPr>
            <w:r>
              <w:t xml:space="preserve">Are there additional or different things that PHARMAC should be doing? </w:t>
            </w:r>
          </w:p>
          <w:p w14:paraId="55D1FFF0" w14:textId="77777777" w:rsidR="00F764D8" w:rsidRDefault="00F764D8" w:rsidP="0016748E">
            <w:pPr>
              <w:ind w:left="447" w:hanging="425"/>
            </w:pPr>
          </w:p>
          <w:p w14:paraId="40C506BE" w14:textId="13B587CA" w:rsidR="00F764D8" w:rsidRPr="00E660F1" w:rsidRDefault="00E660F1" w:rsidP="00E660F1">
            <w:pPr>
              <w:ind w:left="35" w:hanging="13"/>
              <w:rPr>
                <w:rFonts w:asciiTheme="majorHAnsi" w:hAnsiTheme="majorHAnsi" w:cstheme="majorHAnsi"/>
                <w:sz w:val="21"/>
                <w:szCs w:val="21"/>
              </w:rPr>
            </w:pPr>
            <w:r w:rsidRPr="00E660F1">
              <w:rPr>
                <w:rFonts w:asciiTheme="majorHAnsi" w:hAnsiTheme="majorHAnsi" w:cstheme="majorHAnsi"/>
                <w:sz w:val="21"/>
                <w:szCs w:val="21"/>
              </w:rPr>
              <w:t>Cancer is</w:t>
            </w:r>
            <w:r w:rsidR="00BA4793" w:rsidRPr="00BA4793">
              <w:rPr>
                <w:rFonts w:asciiTheme="majorHAnsi" w:hAnsiTheme="majorHAnsi" w:cstheme="majorHAnsi"/>
                <w:sz w:val="21"/>
                <w:szCs w:val="21"/>
              </w:rPr>
              <w:t xml:space="preserve"> a disease of mutagenesis. Increasingly, new treatments are being developed to target specific mutations in key genes that contribute to cancer cell growth. So treatments are becoming less about where in the body the cancer originates and more about the nature and extent of the accumulated mutations in the cancer. This creates specific challenges within the current PHARMAC model, which is based on a typical pathway of care and a standard therapy or progression of therapies. The current system is deeply ill-equipped to address the changing nature of cancer treatments and the shift to co-dependent therapies (i.e. test &amp; treatment or personalised medicine). From a Unicorn perspective this is </w:t>
            </w:r>
            <w:r>
              <w:rPr>
                <w:rFonts w:asciiTheme="majorHAnsi" w:hAnsiTheme="majorHAnsi" w:cstheme="majorHAnsi"/>
                <w:sz w:val="21"/>
                <w:szCs w:val="21"/>
              </w:rPr>
              <w:t>a</w:t>
            </w:r>
            <w:r w:rsidR="00BA4793" w:rsidRPr="00BA4793">
              <w:rPr>
                <w:rFonts w:asciiTheme="majorHAnsi" w:hAnsiTheme="majorHAnsi" w:cstheme="majorHAnsi"/>
                <w:sz w:val="21"/>
                <w:szCs w:val="21"/>
              </w:rPr>
              <w:t xml:space="preserve"> pressing issue </w:t>
            </w:r>
            <w:r>
              <w:rPr>
                <w:rFonts w:asciiTheme="majorHAnsi" w:hAnsiTheme="majorHAnsi" w:cstheme="majorHAnsi"/>
                <w:sz w:val="21"/>
                <w:szCs w:val="21"/>
              </w:rPr>
              <w:t>that needs to be addressed for New Zealanders to have any real access to modern cancer treatments.</w:t>
            </w:r>
          </w:p>
          <w:p w14:paraId="685097EA" w14:textId="2522BD4D" w:rsidR="00F764D8" w:rsidRPr="00F764D8" w:rsidRDefault="00F764D8" w:rsidP="0016748E">
            <w:pPr>
              <w:ind w:left="447" w:hanging="425"/>
            </w:pPr>
          </w:p>
        </w:tc>
      </w:tr>
      <w:tr w:rsidR="001A4D8A" w14:paraId="3BB56E9F" w14:textId="77777777" w:rsidTr="001A4D8A">
        <w:tc>
          <w:tcPr>
            <w:tcW w:w="9016" w:type="dxa"/>
          </w:tcPr>
          <w:p w14:paraId="020A2AFA" w14:textId="5A7C46FF" w:rsidR="00F764D8" w:rsidRDefault="00F764D8" w:rsidP="0016748E">
            <w:pPr>
              <w:pStyle w:val="Heading4"/>
              <w:ind w:left="447" w:hanging="425"/>
              <w:outlineLvl w:val="3"/>
            </w:pPr>
            <w:r>
              <w:t xml:space="preserve">What do the wider changes to the Health and Disability </w:t>
            </w:r>
            <w:r w:rsidR="00886171">
              <w:t>s</w:t>
            </w:r>
            <w:r>
              <w:t>ystem mean for PHARMAC?</w:t>
            </w:r>
          </w:p>
          <w:p w14:paraId="1E82F910" w14:textId="77777777" w:rsidR="001A4D8A" w:rsidRDefault="001A4D8A" w:rsidP="0016748E">
            <w:pPr>
              <w:ind w:left="447" w:hanging="425"/>
            </w:pPr>
          </w:p>
          <w:p w14:paraId="1FAEA81C" w14:textId="50539B3D" w:rsidR="001A4D8A" w:rsidRDefault="001A4D8A" w:rsidP="0016748E">
            <w:pPr>
              <w:ind w:left="447" w:hanging="425"/>
            </w:pPr>
          </w:p>
          <w:p w14:paraId="32774F9F" w14:textId="77777777" w:rsidR="00F764D8" w:rsidRDefault="00F764D8" w:rsidP="0016748E">
            <w:pPr>
              <w:ind w:left="447" w:hanging="425"/>
            </w:pPr>
          </w:p>
          <w:p w14:paraId="3F97C034" w14:textId="2199ADD6" w:rsidR="001A4D8A" w:rsidRDefault="001A4D8A" w:rsidP="0016748E">
            <w:pPr>
              <w:ind w:left="447" w:hanging="425"/>
            </w:pPr>
          </w:p>
        </w:tc>
      </w:tr>
    </w:tbl>
    <w:p w14:paraId="011431C8" w14:textId="77777777" w:rsidR="00F764D8" w:rsidRDefault="00F764D8"/>
    <w:p w14:paraId="25CA29F6" w14:textId="0B40E4C4" w:rsidR="007A3A4E" w:rsidRPr="00531C67" w:rsidRDefault="00F764D8" w:rsidP="00F764D8">
      <w:pPr>
        <w:pStyle w:val="Heading3"/>
        <w:spacing w:before="0"/>
        <w:rPr>
          <w:b/>
          <w:bCs/>
        </w:rPr>
      </w:pPr>
      <w:r w:rsidRPr="00531C67">
        <w:rPr>
          <w:b/>
          <w:bCs/>
        </w:rPr>
        <w:lastRenderedPageBreak/>
        <w:t>How should PHARMAC address the need for greater equity in the decisions it takes</w:t>
      </w:r>
      <w:r w:rsidR="009F7E33" w:rsidRPr="00531C67">
        <w:rPr>
          <w:b/>
          <w:bCs/>
        </w:rPr>
        <w:t>, in particular for M</w:t>
      </w:r>
      <w:r w:rsidR="00F8675F" w:rsidRPr="00531C67">
        <w:rPr>
          <w:rFonts w:cs="Segoe UI"/>
          <w:b/>
          <w:bCs/>
        </w:rPr>
        <w:t>ā</w:t>
      </w:r>
      <w:r w:rsidR="009F7E33" w:rsidRPr="00531C67">
        <w:rPr>
          <w:b/>
          <w:bCs/>
        </w:rPr>
        <w:t>ori</w:t>
      </w:r>
      <w:r w:rsidR="00995D8E" w:rsidRPr="00531C67">
        <w:rPr>
          <w:b/>
          <w:bCs/>
        </w:rPr>
        <w:t xml:space="preserve">, Pacific and </w:t>
      </w:r>
      <w:r w:rsidR="00CC4401">
        <w:rPr>
          <w:b/>
          <w:bCs/>
        </w:rPr>
        <w:t>d</w:t>
      </w:r>
      <w:r w:rsidR="00995D8E" w:rsidRPr="00531C67">
        <w:rPr>
          <w:b/>
          <w:bCs/>
        </w:rPr>
        <w:t xml:space="preserve">isabled </w:t>
      </w:r>
      <w:r w:rsidR="00CC4401">
        <w:rPr>
          <w:b/>
          <w:bCs/>
        </w:rPr>
        <w:t>p</w:t>
      </w:r>
      <w:r w:rsidR="00995D8E" w:rsidRPr="00531C67">
        <w:rPr>
          <w:b/>
          <w:bCs/>
        </w:rPr>
        <w:t>eople</w:t>
      </w:r>
      <w:r w:rsidRPr="00531C67">
        <w:rPr>
          <w:b/>
          <w:bCs/>
        </w:rPr>
        <w:t xml:space="preserve">? </w:t>
      </w:r>
    </w:p>
    <w:tbl>
      <w:tblPr>
        <w:tblStyle w:val="TableGrid"/>
        <w:tblW w:w="0" w:type="auto"/>
        <w:tblInd w:w="-5" w:type="dxa"/>
        <w:tblLook w:val="04A0" w:firstRow="1" w:lastRow="0" w:firstColumn="1" w:lastColumn="0" w:noHBand="0" w:noVBand="1"/>
      </w:tblPr>
      <w:tblGrid>
        <w:gridCol w:w="9021"/>
      </w:tblGrid>
      <w:tr w:rsidR="00FF2DC3" w14:paraId="307526CB" w14:textId="77777777" w:rsidTr="00FF2DC3">
        <w:tc>
          <w:tcPr>
            <w:tcW w:w="9021" w:type="dxa"/>
          </w:tcPr>
          <w:p w14:paraId="57C1028D" w14:textId="6C960BA0" w:rsidR="00FF2DC3" w:rsidRDefault="00F764D8" w:rsidP="0016748E">
            <w:pPr>
              <w:pStyle w:val="Heading4"/>
              <w:ind w:left="447" w:hanging="425"/>
              <w:outlineLvl w:val="3"/>
            </w:pPr>
            <w:r>
              <w:t xml:space="preserve">How well does PHARMAC reflect the principles of </w:t>
            </w:r>
            <w:proofErr w:type="spellStart"/>
            <w:r>
              <w:t>Te</w:t>
            </w:r>
            <w:proofErr w:type="spellEnd"/>
            <w:r>
              <w:t xml:space="preserve"> </w:t>
            </w:r>
            <w:proofErr w:type="spellStart"/>
            <w:r>
              <w:t>Tiriti</w:t>
            </w:r>
            <w:proofErr w:type="spellEnd"/>
            <w:r>
              <w:t xml:space="preserve"> o Waitangi</w:t>
            </w:r>
            <w:r w:rsidR="004B0365">
              <w:t>?</w:t>
            </w:r>
          </w:p>
          <w:p w14:paraId="290C9EB7" w14:textId="79526C5A" w:rsidR="00FF2DC3" w:rsidRDefault="00FF2DC3" w:rsidP="00E660F1"/>
          <w:p w14:paraId="6A13B094" w14:textId="106A0F96" w:rsidR="00D96A8C" w:rsidRDefault="00D96A8C" w:rsidP="0016748E">
            <w:pPr>
              <w:ind w:left="447" w:hanging="425"/>
            </w:pPr>
          </w:p>
          <w:p w14:paraId="4FE49D98" w14:textId="77777777" w:rsidR="00D96A8C" w:rsidRDefault="00D96A8C" w:rsidP="0016748E">
            <w:pPr>
              <w:ind w:left="447" w:hanging="425"/>
            </w:pPr>
          </w:p>
          <w:p w14:paraId="75574814" w14:textId="1DC8525E" w:rsidR="00F764D8" w:rsidRDefault="00F764D8" w:rsidP="0016748E">
            <w:pPr>
              <w:ind w:left="447" w:hanging="425"/>
            </w:pPr>
          </w:p>
        </w:tc>
      </w:tr>
      <w:tr w:rsidR="00FF2DC3" w14:paraId="18FB9194" w14:textId="77777777" w:rsidTr="00FF2DC3">
        <w:tc>
          <w:tcPr>
            <w:tcW w:w="9021" w:type="dxa"/>
          </w:tcPr>
          <w:p w14:paraId="0E6F44A5" w14:textId="77777777" w:rsidR="00FF2DC3" w:rsidRDefault="00FF2DC3" w:rsidP="0016748E">
            <w:pPr>
              <w:pStyle w:val="Heading4"/>
              <w:ind w:left="447" w:hanging="425"/>
              <w:outlineLvl w:val="3"/>
            </w:pPr>
            <w:r>
              <w:t xml:space="preserve">How can PHARMAC achieve more equitable outcomes? </w:t>
            </w:r>
          </w:p>
          <w:p w14:paraId="4EF89441" w14:textId="77777777" w:rsidR="00FF2DC3" w:rsidRDefault="00FF2DC3" w:rsidP="0016748E">
            <w:pPr>
              <w:ind w:left="447" w:hanging="425"/>
            </w:pPr>
          </w:p>
          <w:p w14:paraId="7F26D8B2" w14:textId="3FD20D51" w:rsidR="00FF2DC3" w:rsidRDefault="00C7043B" w:rsidP="00C7043B">
            <w:pPr>
              <w:ind w:left="35" w:hanging="13"/>
            </w:pPr>
            <w:r>
              <w:rPr>
                <w:rFonts w:asciiTheme="majorHAnsi" w:hAnsiTheme="majorHAnsi" w:cstheme="majorHAnsi"/>
                <w:sz w:val="21"/>
                <w:szCs w:val="21"/>
              </w:rPr>
              <w:t xml:space="preserve">For uncommon diseases such as neuroendocrine cancer, </w:t>
            </w:r>
            <w:r>
              <w:rPr>
                <w:rFonts w:asciiTheme="majorHAnsi" w:hAnsiTheme="majorHAnsi" w:cstheme="majorHAnsi"/>
                <w:sz w:val="21"/>
                <w:szCs w:val="21"/>
              </w:rPr>
              <w:t>PHARMAC needs to shift to a model of personalised medicine. This means focusing on, and funding, the</w:t>
            </w:r>
            <w:r>
              <w:rPr>
                <w:rFonts w:asciiTheme="majorHAnsi" w:hAnsiTheme="majorHAnsi" w:cstheme="majorHAnsi"/>
                <w:sz w:val="21"/>
                <w:szCs w:val="21"/>
              </w:rPr>
              <w:t xml:space="preserve"> </w:t>
            </w:r>
            <w:r>
              <w:rPr>
                <w:rFonts w:asciiTheme="majorHAnsi" w:hAnsiTheme="majorHAnsi" w:cstheme="majorHAnsi"/>
                <w:sz w:val="21"/>
                <w:szCs w:val="21"/>
              </w:rPr>
              <w:t xml:space="preserve">individual who needs treatment. This </w:t>
            </w:r>
            <w:r>
              <w:rPr>
                <w:rFonts w:asciiTheme="majorHAnsi" w:hAnsiTheme="majorHAnsi" w:cstheme="majorHAnsi"/>
                <w:sz w:val="21"/>
                <w:szCs w:val="21"/>
              </w:rPr>
              <w:t xml:space="preserve">would </w:t>
            </w:r>
            <w:r>
              <w:rPr>
                <w:rFonts w:asciiTheme="majorHAnsi" w:hAnsiTheme="majorHAnsi" w:cstheme="majorHAnsi"/>
                <w:sz w:val="21"/>
                <w:szCs w:val="21"/>
              </w:rPr>
              <w:t xml:space="preserve">also </w:t>
            </w:r>
            <w:r>
              <w:rPr>
                <w:rFonts w:asciiTheme="majorHAnsi" w:hAnsiTheme="majorHAnsi" w:cstheme="majorHAnsi"/>
                <w:sz w:val="21"/>
                <w:szCs w:val="21"/>
              </w:rPr>
              <w:t>enable a shift to</w:t>
            </w:r>
            <w:r>
              <w:rPr>
                <w:rFonts w:asciiTheme="majorHAnsi" w:hAnsiTheme="majorHAnsi" w:cstheme="majorHAnsi"/>
                <w:sz w:val="21"/>
                <w:szCs w:val="21"/>
              </w:rPr>
              <w:t xml:space="preserve"> </w:t>
            </w:r>
            <w:proofErr w:type="spellStart"/>
            <w:r>
              <w:rPr>
                <w:rFonts w:asciiTheme="majorHAnsi" w:hAnsiTheme="majorHAnsi" w:cstheme="majorHAnsi"/>
                <w:sz w:val="21"/>
                <w:szCs w:val="21"/>
              </w:rPr>
              <w:t>whānau</w:t>
            </w:r>
            <w:proofErr w:type="spellEnd"/>
            <w:r>
              <w:rPr>
                <w:rFonts w:asciiTheme="majorHAnsi" w:hAnsiTheme="majorHAnsi" w:cstheme="majorHAnsi"/>
                <w:sz w:val="21"/>
                <w:szCs w:val="21"/>
              </w:rPr>
              <w:t xml:space="preserve">-centric </w:t>
            </w:r>
            <w:r>
              <w:rPr>
                <w:rFonts w:asciiTheme="majorHAnsi" w:hAnsiTheme="majorHAnsi" w:cstheme="majorHAnsi"/>
                <w:sz w:val="21"/>
                <w:szCs w:val="21"/>
              </w:rPr>
              <w:t xml:space="preserve">care </w:t>
            </w:r>
            <w:r>
              <w:rPr>
                <w:rFonts w:asciiTheme="majorHAnsi" w:hAnsiTheme="majorHAnsi" w:cstheme="majorHAnsi"/>
                <w:sz w:val="21"/>
                <w:szCs w:val="21"/>
              </w:rPr>
              <w:t xml:space="preserve">and </w:t>
            </w:r>
            <w:r>
              <w:rPr>
                <w:rFonts w:asciiTheme="majorHAnsi" w:hAnsiTheme="majorHAnsi" w:cstheme="majorHAnsi"/>
                <w:sz w:val="21"/>
                <w:szCs w:val="21"/>
              </w:rPr>
              <w:t xml:space="preserve">prioritise </w:t>
            </w:r>
            <w:proofErr w:type="spellStart"/>
            <w:r>
              <w:rPr>
                <w:rFonts w:asciiTheme="majorHAnsi" w:hAnsiTheme="majorHAnsi" w:cstheme="majorHAnsi"/>
                <w:sz w:val="21"/>
                <w:szCs w:val="21"/>
              </w:rPr>
              <w:t>te</w:t>
            </w:r>
            <w:proofErr w:type="spellEnd"/>
            <w:r>
              <w:rPr>
                <w:rFonts w:asciiTheme="majorHAnsi" w:hAnsiTheme="majorHAnsi" w:cstheme="majorHAnsi"/>
                <w:sz w:val="21"/>
                <w:szCs w:val="21"/>
              </w:rPr>
              <w:t xml:space="preserve"> </w:t>
            </w:r>
            <w:proofErr w:type="spellStart"/>
            <w:r>
              <w:rPr>
                <w:rFonts w:asciiTheme="majorHAnsi" w:hAnsiTheme="majorHAnsi" w:cstheme="majorHAnsi"/>
                <w:sz w:val="21"/>
                <w:szCs w:val="21"/>
              </w:rPr>
              <w:t>ao</w:t>
            </w:r>
            <w:proofErr w:type="spellEnd"/>
            <w:r>
              <w:rPr>
                <w:rFonts w:asciiTheme="majorHAnsi" w:hAnsiTheme="majorHAnsi" w:cstheme="majorHAnsi"/>
                <w:sz w:val="21"/>
                <w:szCs w:val="21"/>
              </w:rPr>
              <w:t xml:space="preserve"> Māori for the</w:t>
            </w:r>
            <w:r>
              <w:rPr>
                <w:rFonts w:asciiTheme="majorHAnsi" w:hAnsiTheme="majorHAnsi" w:cstheme="majorHAnsi"/>
                <w:sz w:val="21"/>
                <w:szCs w:val="21"/>
              </w:rPr>
              <w:t xml:space="preserve"> person with cancer and their </w:t>
            </w:r>
            <w:proofErr w:type="spellStart"/>
            <w:r>
              <w:rPr>
                <w:rFonts w:asciiTheme="majorHAnsi" w:hAnsiTheme="majorHAnsi" w:cstheme="majorHAnsi"/>
                <w:sz w:val="21"/>
                <w:szCs w:val="21"/>
              </w:rPr>
              <w:t>whānau</w:t>
            </w:r>
            <w:proofErr w:type="spellEnd"/>
            <w:r>
              <w:rPr>
                <w:rFonts w:asciiTheme="majorHAnsi" w:hAnsiTheme="majorHAnsi" w:cstheme="majorHAnsi"/>
                <w:sz w:val="21"/>
                <w:szCs w:val="21"/>
              </w:rPr>
              <w:t>.</w:t>
            </w:r>
          </w:p>
          <w:p w14:paraId="0779A591" w14:textId="77777777" w:rsidR="00D96A8C" w:rsidRDefault="00D96A8C" w:rsidP="00D96A8C"/>
          <w:p w14:paraId="13E37B3D" w14:textId="6DE82D82" w:rsidR="00FF2DC3" w:rsidRDefault="00FF2DC3" w:rsidP="0016748E">
            <w:pPr>
              <w:ind w:left="447" w:hanging="425"/>
            </w:pPr>
          </w:p>
        </w:tc>
      </w:tr>
    </w:tbl>
    <w:p w14:paraId="181774C1" w14:textId="4BB447B0" w:rsidR="00A86E5B" w:rsidRPr="00531C67" w:rsidRDefault="00223F85" w:rsidP="00FF2DC3">
      <w:pPr>
        <w:pStyle w:val="Heading3"/>
        <w:rPr>
          <w:b/>
          <w:bCs/>
        </w:rPr>
      </w:pPr>
      <w:r w:rsidRPr="00531C67">
        <w:rPr>
          <w:b/>
          <w:bCs/>
        </w:rPr>
        <w:t xml:space="preserve">Additional feedback </w:t>
      </w:r>
    </w:p>
    <w:tbl>
      <w:tblPr>
        <w:tblStyle w:val="TableGrid"/>
        <w:tblW w:w="0" w:type="auto"/>
        <w:tblLook w:val="04A0" w:firstRow="1" w:lastRow="0" w:firstColumn="1" w:lastColumn="0" w:noHBand="0" w:noVBand="1"/>
      </w:tblPr>
      <w:tblGrid>
        <w:gridCol w:w="9016"/>
      </w:tblGrid>
      <w:tr w:rsidR="00FF2DC3" w14:paraId="13586EB4" w14:textId="77777777" w:rsidTr="00FF2DC3">
        <w:tc>
          <w:tcPr>
            <w:tcW w:w="9016" w:type="dxa"/>
          </w:tcPr>
          <w:p w14:paraId="5643C7EB" w14:textId="77777777" w:rsidR="00FF2DC3" w:rsidRDefault="00FF2DC3" w:rsidP="005F3461">
            <w:pPr>
              <w:pStyle w:val="Heading4"/>
              <w:numPr>
                <w:ilvl w:val="0"/>
                <w:numId w:val="0"/>
              </w:numPr>
              <w:ind w:left="22"/>
              <w:outlineLvl w:val="3"/>
            </w:pPr>
            <w:r>
              <w:t>Is there anything else that you think the Review Panel should consider?</w:t>
            </w:r>
          </w:p>
          <w:p w14:paraId="5D194AF1" w14:textId="77777777" w:rsidR="00FF2DC3" w:rsidRPr="00C7043B" w:rsidRDefault="00FF2DC3" w:rsidP="0001675E">
            <w:pPr>
              <w:rPr>
                <w:rFonts w:asciiTheme="majorHAnsi" w:hAnsiTheme="majorHAnsi" w:cstheme="majorHAnsi"/>
                <w:sz w:val="21"/>
                <w:szCs w:val="21"/>
              </w:rPr>
            </w:pPr>
          </w:p>
          <w:p w14:paraId="59F00206" w14:textId="4E9C87CE" w:rsidR="00715A63" w:rsidRDefault="00715A63" w:rsidP="0001675E">
            <w:pPr>
              <w:rPr>
                <w:rFonts w:asciiTheme="majorHAnsi" w:hAnsiTheme="majorHAnsi" w:cstheme="majorHAnsi"/>
                <w:sz w:val="21"/>
                <w:szCs w:val="21"/>
              </w:rPr>
            </w:pPr>
            <w:r>
              <w:rPr>
                <w:rFonts w:asciiTheme="majorHAnsi" w:hAnsiTheme="majorHAnsi" w:cstheme="majorHAnsi"/>
                <w:sz w:val="21"/>
                <w:szCs w:val="21"/>
              </w:rPr>
              <w:t>Equity of access is currently considered in a range of ways, such as Māori vs non-Māori or rural vs urban access. However, as the national charity representing neuroendocrine cancer we know that some cancers are luckier than others when it comes to what funded treatments are available. Neuroendocrine cancer is the ‘poor cousin’ with few funded options. There needs</w:t>
            </w:r>
            <w:proofErr w:type="spellStart"/>
            <w:r>
              <w:rPr>
                <w:rFonts w:asciiTheme="majorHAnsi" w:hAnsiTheme="majorHAnsi" w:cstheme="majorHAnsi"/>
                <w:sz w:val="21"/>
                <w:szCs w:val="21"/>
              </w:rPr>
              <w:t xml:space="preserve"> to </w:t>
            </w:r>
            <w:proofErr w:type="spellEnd"/>
            <w:r>
              <w:rPr>
                <w:rFonts w:asciiTheme="majorHAnsi" w:hAnsiTheme="majorHAnsi" w:cstheme="majorHAnsi"/>
                <w:sz w:val="21"/>
                <w:szCs w:val="21"/>
              </w:rPr>
              <w:t xml:space="preserve">be an emphasis on equity across cancers so that </w:t>
            </w:r>
            <w:r w:rsidRPr="00715A63">
              <w:rPr>
                <w:rFonts w:asciiTheme="majorHAnsi" w:hAnsiTheme="majorHAnsi" w:cstheme="majorHAnsi"/>
                <w:b/>
                <w:bCs/>
                <w:sz w:val="21"/>
                <w:szCs w:val="21"/>
              </w:rPr>
              <w:t xml:space="preserve">all cancer patients </w:t>
            </w:r>
            <w:r>
              <w:rPr>
                <w:rFonts w:asciiTheme="majorHAnsi" w:hAnsiTheme="majorHAnsi" w:cstheme="majorHAnsi"/>
                <w:b/>
                <w:bCs/>
                <w:sz w:val="21"/>
                <w:szCs w:val="21"/>
              </w:rPr>
              <w:t>should have</w:t>
            </w:r>
            <w:r w:rsidRPr="00715A63">
              <w:rPr>
                <w:rFonts w:asciiTheme="majorHAnsi" w:hAnsiTheme="majorHAnsi" w:cstheme="majorHAnsi"/>
                <w:b/>
                <w:bCs/>
                <w:sz w:val="21"/>
                <w:szCs w:val="21"/>
              </w:rPr>
              <w:t xml:space="preserve"> </w:t>
            </w:r>
            <w:r>
              <w:rPr>
                <w:rFonts w:asciiTheme="majorHAnsi" w:hAnsiTheme="majorHAnsi" w:cstheme="majorHAnsi"/>
                <w:b/>
                <w:bCs/>
                <w:sz w:val="21"/>
                <w:szCs w:val="21"/>
              </w:rPr>
              <w:t>equitable</w:t>
            </w:r>
            <w:r w:rsidRPr="00715A63">
              <w:rPr>
                <w:rFonts w:asciiTheme="majorHAnsi" w:hAnsiTheme="majorHAnsi" w:cstheme="majorHAnsi"/>
                <w:b/>
                <w:bCs/>
                <w:sz w:val="21"/>
                <w:szCs w:val="21"/>
              </w:rPr>
              <w:t xml:space="preserve"> access </w:t>
            </w:r>
            <w:r>
              <w:rPr>
                <w:rFonts w:asciiTheme="majorHAnsi" w:hAnsiTheme="majorHAnsi" w:cstheme="majorHAnsi"/>
                <w:b/>
                <w:bCs/>
                <w:sz w:val="21"/>
                <w:szCs w:val="21"/>
              </w:rPr>
              <w:t xml:space="preserve">to </w:t>
            </w:r>
            <w:r w:rsidRPr="00715A63">
              <w:rPr>
                <w:rFonts w:asciiTheme="majorHAnsi" w:hAnsiTheme="majorHAnsi" w:cstheme="majorHAnsi"/>
                <w:b/>
                <w:bCs/>
                <w:sz w:val="21"/>
                <w:szCs w:val="21"/>
              </w:rPr>
              <w:t>the right treatment at the right time</w:t>
            </w:r>
            <w:r>
              <w:rPr>
                <w:rFonts w:asciiTheme="majorHAnsi" w:hAnsiTheme="majorHAnsi" w:cstheme="majorHAnsi"/>
                <w:sz w:val="21"/>
                <w:szCs w:val="21"/>
              </w:rPr>
              <w:t xml:space="preserve">. </w:t>
            </w:r>
          </w:p>
          <w:p w14:paraId="45ABCCAC" w14:textId="77777777" w:rsidR="00715A63" w:rsidRDefault="00715A63" w:rsidP="0001675E">
            <w:pPr>
              <w:rPr>
                <w:rFonts w:asciiTheme="majorHAnsi" w:hAnsiTheme="majorHAnsi" w:cstheme="majorHAnsi"/>
                <w:sz w:val="21"/>
                <w:szCs w:val="21"/>
              </w:rPr>
            </w:pPr>
          </w:p>
          <w:p w14:paraId="35C30903" w14:textId="678A74B2" w:rsidR="00FF2DC3" w:rsidRPr="00C7043B" w:rsidRDefault="00C7043B" w:rsidP="0001675E">
            <w:pPr>
              <w:rPr>
                <w:rFonts w:asciiTheme="majorHAnsi" w:hAnsiTheme="majorHAnsi" w:cstheme="majorHAnsi"/>
                <w:sz w:val="21"/>
                <w:szCs w:val="21"/>
              </w:rPr>
            </w:pPr>
            <w:r w:rsidRPr="00C7043B">
              <w:rPr>
                <w:rFonts w:asciiTheme="majorHAnsi" w:hAnsiTheme="majorHAnsi" w:cstheme="majorHAnsi"/>
                <w:sz w:val="21"/>
                <w:szCs w:val="21"/>
              </w:rPr>
              <w:t>The review of PHARMAC, without a review of the budget is only a half-review. The current legislative mandate meshes both purpose and budget, so to review one without the other is illogical.</w:t>
            </w:r>
          </w:p>
          <w:p w14:paraId="3C2ECC83" w14:textId="77777777" w:rsidR="00FF2DC3" w:rsidRPr="00C7043B" w:rsidRDefault="00FF2DC3" w:rsidP="0001675E">
            <w:pPr>
              <w:rPr>
                <w:rFonts w:asciiTheme="majorHAnsi" w:hAnsiTheme="majorHAnsi" w:cstheme="majorHAnsi"/>
                <w:sz w:val="21"/>
                <w:szCs w:val="21"/>
              </w:rPr>
            </w:pPr>
          </w:p>
          <w:p w14:paraId="0D15AB47" w14:textId="39EC6015" w:rsidR="00FF2DC3" w:rsidRDefault="00FF2DC3" w:rsidP="0001675E"/>
        </w:tc>
      </w:tr>
    </w:tbl>
    <w:p w14:paraId="679FC499" w14:textId="77777777" w:rsidR="00860933" w:rsidRDefault="00860933" w:rsidP="00860933">
      <w:pPr>
        <w:pStyle w:val="Heading2"/>
      </w:pPr>
      <w:r>
        <w:t>Contact information</w:t>
      </w:r>
    </w:p>
    <w:p w14:paraId="77461EC9" w14:textId="64EBEE31" w:rsidR="00860933" w:rsidRDefault="00860933" w:rsidP="0030684B">
      <w:pPr>
        <w:keepNext/>
      </w:pPr>
      <w:r>
        <w:t xml:space="preserve">Your feedback is important to us. If you are comfortable for us to get in touch if we have any questions or points of clarification regarding your feedback, please provide your name and contact email address below. </w:t>
      </w:r>
    </w:p>
    <w:tbl>
      <w:tblPr>
        <w:tblStyle w:val="TableGrid"/>
        <w:tblW w:w="0" w:type="auto"/>
        <w:tblCellMar>
          <w:top w:w="113" w:type="dxa"/>
          <w:left w:w="113" w:type="dxa"/>
          <w:bottom w:w="113" w:type="dxa"/>
          <w:right w:w="113" w:type="dxa"/>
        </w:tblCellMar>
        <w:tblLook w:val="04A0" w:firstRow="1" w:lastRow="0" w:firstColumn="1" w:lastColumn="0" w:noHBand="0" w:noVBand="1"/>
      </w:tblPr>
      <w:tblGrid>
        <w:gridCol w:w="2689"/>
        <w:gridCol w:w="6327"/>
      </w:tblGrid>
      <w:tr w:rsidR="00FF2DC3" w14:paraId="6320A7D3" w14:textId="77777777" w:rsidTr="005F3461">
        <w:tc>
          <w:tcPr>
            <w:tcW w:w="2689" w:type="dxa"/>
          </w:tcPr>
          <w:p w14:paraId="04FD562B" w14:textId="3C5D83D1" w:rsidR="00FF2DC3" w:rsidRPr="00FF2DC3" w:rsidRDefault="00FF2DC3" w:rsidP="005F3461">
            <w:pPr>
              <w:ind w:left="59" w:hanging="37"/>
              <w:jc w:val="both"/>
              <w:rPr>
                <w:b/>
                <w:bCs/>
              </w:rPr>
            </w:pPr>
            <w:r w:rsidRPr="00FF2DC3">
              <w:rPr>
                <w:b/>
                <w:bCs/>
              </w:rPr>
              <w:t xml:space="preserve">Name </w:t>
            </w:r>
          </w:p>
        </w:tc>
        <w:tc>
          <w:tcPr>
            <w:tcW w:w="6327" w:type="dxa"/>
          </w:tcPr>
          <w:p w14:paraId="05DF5085" w14:textId="1303A83F" w:rsidR="00FF2DC3" w:rsidRPr="007F6333" w:rsidRDefault="00177631" w:rsidP="005F3461">
            <w:pPr>
              <w:rPr>
                <w:rFonts w:asciiTheme="majorHAnsi" w:hAnsiTheme="majorHAnsi" w:cstheme="majorHAnsi"/>
                <w:sz w:val="21"/>
                <w:szCs w:val="21"/>
              </w:rPr>
            </w:pPr>
            <w:r w:rsidRPr="007F6333">
              <w:rPr>
                <w:rFonts w:asciiTheme="majorHAnsi" w:hAnsiTheme="majorHAnsi" w:cstheme="majorHAnsi"/>
                <w:sz w:val="21"/>
                <w:szCs w:val="21"/>
              </w:rPr>
              <w:t>Michelle Sullivan</w:t>
            </w:r>
          </w:p>
        </w:tc>
      </w:tr>
      <w:tr w:rsidR="00FF2DC3" w14:paraId="2862A199" w14:textId="77777777" w:rsidTr="005F3461">
        <w:tc>
          <w:tcPr>
            <w:tcW w:w="2689" w:type="dxa"/>
          </w:tcPr>
          <w:p w14:paraId="76D33B9E" w14:textId="3858AB90" w:rsidR="00FF2DC3" w:rsidRPr="00FF2DC3" w:rsidRDefault="00FF2DC3" w:rsidP="005F3461">
            <w:pPr>
              <w:ind w:left="59" w:hanging="37"/>
              <w:jc w:val="both"/>
              <w:rPr>
                <w:b/>
                <w:bCs/>
              </w:rPr>
            </w:pPr>
            <w:r w:rsidRPr="00FF2DC3">
              <w:rPr>
                <w:b/>
                <w:bCs/>
              </w:rPr>
              <w:t>Email address</w:t>
            </w:r>
          </w:p>
        </w:tc>
        <w:tc>
          <w:tcPr>
            <w:tcW w:w="6327" w:type="dxa"/>
          </w:tcPr>
          <w:p w14:paraId="20A300CE" w14:textId="5D877E88" w:rsidR="00FF2DC3" w:rsidRPr="007F6333" w:rsidRDefault="007F6333" w:rsidP="005F3461">
            <w:pPr>
              <w:rPr>
                <w:rFonts w:asciiTheme="majorHAnsi" w:hAnsiTheme="majorHAnsi" w:cstheme="majorHAnsi"/>
                <w:sz w:val="21"/>
                <w:szCs w:val="21"/>
              </w:rPr>
            </w:pPr>
            <w:r w:rsidRPr="007F6333">
              <w:rPr>
                <w:rFonts w:asciiTheme="majorHAnsi" w:hAnsiTheme="majorHAnsi" w:cstheme="majorHAnsi"/>
                <w:sz w:val="21"/>
                <w:szCs w:val="21"/>
              </w:rPr>
              <w:t>michelle@unicornfoundation.org.nz</w:t>
            </w:r>
          </w:p>
        </w:tc>
      </w:tr>
      <w:tr w:rsidR="00FF2DC3" w14:paraId="43F17604" w14:textId="77777777" w:rsidTr="005F3461">
        <w:tc>
          <w:tcPr>
            <w:tcW w:w="2689" w:type="dxa"/>
          </w:tcPr>
          <w:p w14:paraId="3106B3B0" w14:textId="1B8E3BE1" w:rsidR="00FF2DC3" w:rsidRPr="00FF2DC3" w:rsidRDefault="00FF2DC3" w:rsidP="005F3461">
            <w:pPr>
              <w:ind w:left="59" w:hanging="37"/>
              <w:jc w:val="both"/>
              <w:rPr>
                <w:b/>
                <w:bCs/>
              </w:rPr>
            </w:pPr>
            <w:r w:rsidRPr="00FF2DC3">
              <w:rPr>
                <w:b/>
                <w:bCs/>
              </w:rPr>
              <w:t xml:space="preserve">Organisation </w:t>
            </w:r>
          </w:p>
        </w:tc>
        <w:tc>
          <w:tcPr>
            <w:tcW w:w="6327" w:type="dxa"/>
          </w:tcPr>
          <w:p w14:paraId="692823C7" w14:textId="6A68D484" w:rsidR="00177631" w:rsidRPr="007F6333" w:rsidRDefault="00177631" w:rsidP="005F3461">
            <w:pPr>
              <w:rPr>
                <w:rFonts w:asciiTheme="majorHAnsi" w:hAnsiTheme="majorHAnsi" w:cstheme="majorHAnsi"/>
                <w:sz w:val="21"/>
                <w:szCs w:val="21"/>
              </w:rPr>
            </w:pPr>
            <w:r w:rsidRPr="007F6333">
              <w:rPr>
                <w:rFonts w:asciiTheme="majorHAnsi" w:hAnsiTheme="majorHAnsi" w:cstheme="majorHAnsi"/>
                <w:sz w:val="21"/>
                <w:szCs w:val="21"/>
              </w:rPr>
              <w:t>Unicorn Foundation New Zealand</w:t>
            </w:r>
          </w:p>
        </w:tc>
      </w:tr>
    </w:tbl>
    <w:p w14:paraId="3AA272DD" w14:textId="088F6784" w:rsidR="00B00999" w:rsidRDefault="00B00999" w:rsidP="00663F5B">
      <w:pPr>
        <w:spacing w:before="240"/>
      </w:pPr>
      <w:r>
        <w:t xml:space="preserve">If you do not want your personal details to be shared for any other purpose (for example if we receive a request for information under the </w:t>
      </w:r>
      <w:r w:rsidR="00CC4401">
        <w:t>O</w:t>
      </w:r>
      <w:r>
        <w:t>fficial Information Act) please signal this using the box below.</w:t>
      </w:r>
    </w:p>
    <w:p w14:paraId="18F8E963" w14:textId="6A418E8D" w:rsidR="00B00999" w:rsidRDefault="00427DA8" w:rsidP="00C31613">
      <w:sdt>
        <w:sdtPr>
          <w:id w:val="-799998200"/>
          <w14:checkbox>
            <w14:checked w14:val="0"/>
            <w14:checkedState w14:val="2612" w14:font="MS Gothic"/>
            <w14:uncheckedState w14:val="2610" w14:font="MS Gothic"/>
          </w14:checkbox>
        </w:sdtPr>
        <w:sdtEndPr/>
        <w:sdtContent>
          <w:r w:rsidR="00C31613">
            <w:rPr>
              <w:rFonts w:ascii="MS Gothic" w:eastAsia="MS Gothic" w:hAnsi="MS Gothic" w:hint="eastAsia"/>
            </w:rPr>
            <w:t>☐</w:t>
          </w:r>
        </w:sdtContent>
      </w:sdt>
      <w:r w:rsidR="00C31613">
        <w:tab/>
      </w:r>
      <w:r w:rsidR="00B00999">
        <w:t>I do not want my personal details to be shared for any purpose other than this</w:t>
      </w:r>
      <w:r w:rsidR="00C31613">
        <w:t xml:space="preserve"> </w:t>
      </w:r>
      <w:r w:rsidR="00B00999">
        <w:t xml:space="preserve">review. </w:t>
      </w:r>
    </w:p>
    <w:p w14:paraId="56E6BF8B" w14:textId="051D5BD6" w:rsidR="00A86E5B" w:rsidRDefault="00A86E5B" w:rsidP="0001675E">
      <w:r>
        <w:t xml:space="preserve">Thank you for providing your feedback. </w:t>
      </w:r>
    </w:p>
    <w:p w14:paraId="6D4F1082" w14:textId="77777777" w:rsidR="00A86E5B" w:rsidRPr="0001675E" w:rsidRDefault="00A86E5B" w:rsidP="0001675E">
      <w:proofErr w:type="spellStart"/>
      <w:r>
        <w:t>Tēnā</w:t>
      </w:r>
      <w:proofErr w:type="spellEnd"/>
      <w:r>
        <w:t xml:space="preserve"> </w:t>
      </w:r>
      <w:proofErr w:type="spellStart"/>
      <w:r>
        <w:t>koe</w:t>
      </w:r>
      <w:proofErr w:type="spellEnd"/>
      <w:r>
        <w:t xml:space="preserve"> </w:t>
      </w:r>
      <w:proofErr w:type="spellStart"/>
      <w:r>
        <w:t>mō</w:t>
      </w:r>
      <w:proofErr w:type="spellEnd"/>
      <w:r>
        <w:t xml:space="preserve"> </w:t>
      </w:r>
      <w:proofErr w:type="spellStart"/>
      <w:r>
        <w:t>tō</w:t>
      </w:r>
      <w:proofErr w:type="spellEnd"/>
      <w:r>
        <w:t xml:space="preserve"> </w:t>
      </w:r>
      <w:proofErr w:type="spellStart"/>
      <w:r>
        <w:t>tuku</w:t>
      </w:r>
      <w:proofErr w:type="spellEnd"/>
      <w:r>
        <w:t xml:space="preserve"> </w:t>
      </w:r>
      <w:proofErr w:type="spellStart"/>
      <w:r>
        <w:t>urupare</w:t>
      </w:r>
      <w:proofErr w:type="spellEnd"/>
      <w:r>
        <w:t xml:space="preserve"> </w:t>
      </w:r>
      <w:proofErr w:type="spellStart"/>
      <w:r>
        <w:t>mai</w:t>
      </w:r>
      <w:proofErr w:type="spellEnd"/>
      <w:r>
        <w:t xml:space="preserve">. </w:t>
      </w:r>
    </w:p>
    <w:sectPr w:rsidR="00A86E5B" w:rsidRPr="0001675E" w:rsidSect="00B04CEE">
      <w:headerReference w:type="default" r:id="rId11"/>
      <w:headerReference w:type="first" r:id="rId12"/>
      <w:pgSz w:w="11906" w:h="16838"/>
      <w:pgMar w:top="1134" w:right="1418" w:bottom="1134"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9ED9D" w14:textId="77777777" w:rsidR="00427DA8" w:rsidRDefault="00427DA8" w:rsidP="00543682">
      <w:pPr>
        <w:spacing w:after="0" w:line="240" w:lineRule="auto"/>
      </w:pPr>
      <w:r>
        <w:separator/>
      </w:r>
    </w:p>
  </w:endnote>
  <w:endnote w:type="continuationSeparator" w:id="0">
    <w:p w14:paraId="67BA911E" w14:textId="77777777" w:rsidR="00427DA8" w:rsidRDefault="00427DA8" w:rsidP="00543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179F8" w14:textId="77777777" w:rsidR="00427DA8" w:rsidRDefault="00427DA8" w:rsidP="00543682">
      <w:pPr>
        <w:spacing w:after="0" w:line="240" w:lineRule="auto"/>
      </w:pPr>
      <w:r>
        <w:separator/>
      </w:r>
    </w:p>
  </w:footnote>
  <w:footnote w:type="continuationSeparator" w:id="0">
    <w:p w14:paraId="79B4FF01" w14:textId="77777777" w:rsidR="00427DA8" w:rsidRDefault="00427DA8" w:rsidP="00543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FB59E" w14:textId="4FA5B2EA" w:rsidR="00543682" w:rsidRDefault="00DE2318" w:rsidP="005F3461">
    <w:pPr>
      <w:pStyle w:val="Header"/>
      <w:tabs>
        <w:tab w:val="left" w:pos="3900"/>
      </w:tabs>
    </w:pPr>
    <w:r>
      <w:tab/>
    </w:r>
    <w:r w:rsidR="005F3461">
      <w:tab/>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69465" w14:textId="5D73593C" w:rsidR="005F3461" w:rsidRDefault="005F3461" w:rsidP="005F3461">
    <w:pPr>
      <w:pStyle w:val="Header"/>
    </w:pPr>
    <w:r>
      <w:rPr>
        <w:noProof/>
      </w:rPr>
      <w:drawing>
        <wp:anchor distT="0" distB="0" distL="114300" distR="114300" simplePos="0" relativeHeight="251660288" behindDoc="0" locked="0" layoutInCell="1" allowOverlap="1" wp14:anchorId="2CE7B452" wp14:editId="4FFD6828">
          <wp:simplePos x="0" y="0"/>
          <wp:positionH relativeFrom="column">
            <wp:posOffset>4023995</wp:posOffset>
          </wp:positionH>
          <wp:positionV relativeFrom="paragraph">
            <wp:posOffset>154305</wp:posOffset>
          </wp:positionV>
          <wp:extent cx="1724025" cy="180975"/>
          <wp:effectExtent l="0" t="0" r="952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zealand-government.png"/>
                  <pic:cNvPicPr/>
                </pic:nvPicPr>
                <pic:blipFill>
                  <a:blip r:embed="rId1">
                    <a:extLst>
                      <a:ext uri="{28A0092B-C50C-407E-A947-70E740481C1C}">
                        <a14:useLocalDpi xmlns:a14="http://schemas.microsoft.com/office/drawing/2010/main" val="0"/>
                      </a:ext>
                    </a:extLst>
                  </a:blip>
                  <a:stretch>
                    <a:fillRect/>
                  </a:stretch>
                </pic:blipFill>
                <pic:spPr>
                  <a:xfrm>
                    <a:off x="0" y="0"/>
                    <a:ext cx="1724025" cy="180975"/>
                  </a:xfrm>
                  <a:prstGeom prst="rect">
                    <a:avLst/>
                  </a:prstGeom>
                </pic:spPr>
              </pic:pic>
            </a:graphicData>
          </a:graphic>
        </wp:anchor>
      </w:drawing>
    </w:r>
    <w:r w:rsidR="00183EC0">
      <w:rPr>
        <w:noProof/>
      </w:rPr>
      <w:drawing>
        <wp:inline distT="0" distB="0" distL="0" distR="0" wp14:anchorId="2D334D02" wp14:editId="322CCA61">
          <wp:extent cx="2857500" cy="647700"/>
          <wp:effectExtent l="0" t="0" r="0" b="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7650 - Pharmac Review Logo_300px.png"/>
                  <pic:cNvPicPr/>
                </pic:nvPicPr>
                <pic:blipFill>
                  <a:blip r:embed="rId2">
                    <a:extLst>
                      <a:ext uri="{28A0092B-C50C-407E-A947-70E740481C1C}">
                        <a14:useLocalDpi xmlns:a14="http://schemas.microsoft.com/office/drawing/2010/main" val="0"/>
                      </a:ext>
                    </a:extLst>
                  </a:blip>
                  <a:stretch>
                    <a:fillRect/>
                  </a:stretch>
                </pic:blipFill>
                <pic:spPr>
                  <a:xfrm>
                    <a:off x="0" y="0"/>
                    <a:ext cx="2857500" cy="647700"/>
                  </a:xfrm>
                  <a:prstGeom prst="rect">
                    <a:avLst/>
                  </a:prstGeom>
                </pic:spPr>
              </pic:pic>
            </a:graphicData>
          </a:graphic>
        </wp:inline>
      </w:drawing>
    </w:r>
    <w:r>
      <w:tab/>
    </w:r>
    <w:r>
      <w:ptab w:relativeTo="margin" w:alignment="right" w:leader="none"/>
    </w:r>
  </w:p>
  <w:p w14:paraId="6C20EA74" w14:textId="77777777" w:rsidR="005F3461" w:rsidRDefault="005F3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D6E16"/>
    <w:multiLevelType w:val="hybridMultilevel"/>
    <w:tmpl w:val="07581CFC"/>
    <w:lvl w:ilvl="0" w:tplc="2988B444">
      <w:start w:val="1"/>
      <w:numFmt w:val="decimal"/>
      <w:lvlText w:val="%1."/>
      <w:lvlJc w:val="left"/>
      <w:pPr>
        <w:ind w:left="382" w:hanging="360"/>
      </w:pPr>
      <w:rPr>
        <w:rFonts w:hint="default"/>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1" w15:restartNumberingAfterBreak="0">
    <w:nsid w:val="2A5667B9"/>
    <w:multiLevelType w:val="hybridMultilevel"/>
    <w:tmpl w:val="E18EBC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61F7959"/>
    <w:multiLevelType w:val="hybridMultilevel"/>
    <w:tmpl w:val="606C6F7E"/>
    <w:lvl w:ilvl="0" w:tplc="C8C27924">
      <w:start w:val="1"/>
      <w:numFmt w:val="decimal"/>
      <w:pStyle w:val="Heading4"/>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72D0A45"/>
    <w:multiLevelType w:val="multilevel"/>
    <w:tmpl w:val="78CA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9276D0"/>
    <w:multiLevelType w:val="hybridMultilevel"/>
    <w:tmpl w:val="EFAAD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DA3989"/>
    <w:multiLevelType w:val="multilevel"/>
    <w:tmpl w:val="1D28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3D4819"/>
    <w:multiLevelType w:val="hybridMultilevel"/>
    <w:tmpl w:val="3CB44E5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BDD7279"/>
    <w:multiLevelType w:val="hybridMultilevel"/>
    <w:tmpl w:val="C6AEBA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604655A"/>
    <w:multiLevelType w:val="multilevel"/>
    <w:tmpl w:val="127A5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1C6A44"/>
    <w:multiLevelType w:val="hybridMultilevel"/>
    <w:tmpl w:val="BC4C6A3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5"/>
  </w:num>
  <w:num w:numId="5">
    <w:abstractNumId w:val="1"/>
  </w:num>
  <w:num w:numId="6">
    <w:abstractNumId w:val="7"/>
  </w:num>
  <w:num w:numId="7">
    <w:abstractNumId w:val="9"/>
  </w:num>
  <w:num w:numId="8">
    <w:abstractNumId w:val="2"/>
    <w:lvlOverride w:ilvl="0">
      <w:startOverride w:val="1"/>
    </w:lvlOverride>
  </w:num>
  <w:num w:numId="9">
    <w:abstractNumId w:val="2"/>
    <w:lvlOverride w:ilvl="0">
      <w:startOverride w:val="1"/>
    </w:lvlOverride>
  </w:num>
  <w:num w:numId="10">
    <w:abstractNumId w:val="2"/>
  </w:num>
  <w:num w:numId="11">
    <w:abstractNumId w:val="2"/>
    <w:lvlOverride w:ilvl="0">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0"/>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75E"/>
    <w:rsid w:val="0001675E"/>
    <w:rsid w:val="000337B6"/>
    <w:rsid w:val="000631DB"/>
    <w:rsid w:val="000B05ED"/>
    <w:rsid w:val="000F71D3"/>
    <w:rsid w:val="0015437D"/>
    <w:rsid w:val="0016748E"/>
    <w:rsid w:val="00177631"/>
    <w:rsid w:val="00183EC0"/>
    <w:rsid w:val="00187227"/>
    <w:rsid w:val="001A4D8A"/>
    <w:rsid w:val="001C6550"/>
    <w:rsid w:val="001D2CAD"/>
    <w:rsid w:val="00223F85"/>
    <w:rsid w:val="002524D1"/>
    <w:rsid w:val="00256EAF"/>
    <w:rsid w:val="002E219C"/>
    <w:rsid w:val="002E5249"/>
    <w:rsid w:val="0030684B"/>
    <w:rsid w:val="00317AA2"/>
    <w:rsid w:val="0034203D"/>
    <w:rsid w:val="00347E74"/>
    <w:rsid w:val="003E24A4"/>
    <w:rsid w:val="00406DC0"/>
    <w:rsid w:val="00427DA8"/>
    <w:rsid w:val="00497010"/>
    <w:rsid w:val="004B0365"/>
    <w:rsid w:val="00507C94"/>
    <w:rsid w:val="00530D67"/>
    <w:rsid w:val="00531C67"/>
    <w:rsid w:val="0053759B"/>
    <w:rsid w:val="00543682"/>
    <w:rsid w:val="00555011"/>
    <w:rsid w:val="00577AB0"/>
    <w:rsid w:val="0058260C"/>
    <w:rsid w:val="0059685D"/>
    <w:rsid w:val="005A030F"/>
    <w:rsid w:val="005A03A0"/>
    <w:rsid w:val="005F3461"/>
    <w:rsid w:val="00612E80"/>
    <w:rsid w:val="00641189"/>
    <w:rsid w:val="00652760"/>
    <w:rsid w:val="00653E84"/>
    <w:rsid w:val="00663C0A"/>
    <w:rsid w:val="00663F5B"/>
    <w:rsid w:val="006E675B"/>
    <w:rsid w:val="00707723"/>
    <w:rsid w:val="00715A63"/>
    <w:rsid w:val="00740C6D"/>
    <w:rsid w:val="00757EBF"/>
    <w:rsid w:val="0076726F"/>
    <w:rsid w:val="00772425"/>
    <w:rsid w:val="00791321"/>
    <w:rsid w:val="007A3A4E"/>
    <w:rsid w:val="007B4A7E"/>
    <w:rsid w:val="007C53C9"/>
    <w:rsid w:val="007D37D6"/>
    <w:rsid w:val="007F6333"/>
    <w:rsid w:val="00860933"/>
    <w:rsid w:val="00880D99"/>
    <w:rsid w:val="00886171"/>
    <w:rsid w:val="008929B0"/>
    <w:rsid w:val="008D3B29"/>
    <w:rsid w:val="008D5C72"/>
    <w:rsid w:val="008F32F7"/>
    <w:rsid w:val="009542A6"/>
    <w:rsid w:val="00995D8E"/>
    <w:rsid w:val="009B55E1"/>
    <w:rsid w:val="009B7A14"/>
    <w:rsid w:val="009B7DDF"/>
    <w:rsid w:val="009D748F"/>
    <w:rsid w:val="009D7619"/>
    <w:rsid w:val="009F7E33"/>
    <w:rsid w:val="00A10E66"/>
    <w:rsid w:val="00A86E5B"/>
    <w:rsid w:val="00A94345"/>
    <w:rsid w:val="00AE1802"/>
    <w:rsid w:val="00AF397C"/>
    <w:rsid w:val="00B00999"/>
    <w:rsid w:val="00B04CEE"/>
    <w:rsid w:val="00B24376"/>
    <w:rsid w:val="00B321C8"/>
    <w:rsid w:val="00B379C3"/>
    <w:rsid w:val="00B43212"/>
    <w:rsid w:val="00B95502"/>
    <w:rsid w:val="00BA4793"/>
    <w:rsid w:val="00BC0ED9"/>
    <w:rsid w:val="00BC4C92"/>
    <w:rsid w:val="00BF2E5B"/>
    <w:rsid w:val="00C058F6"/>
    <w:rsid w:val="00C31613"/>
    <w:rsid w:val="00C35B45"/>
    <w:rsid w:val="00C7043B"/>
    <w:rsid w:val="00C712A2"/>
    <w:rsid w:val="00CC4401"/>
    <w:rsid w:val="00CE7EB1"/>
    <w:rsid w:val="00D5072C"/>
    <w:rsid w:val="00D54FF0"/>
    <w:rsid w:val="00D81344"/>
    <w:rsid w:val="00D96A8C"/>
    <w:rsid w:val="00DB167A"/>
    <w:rsid w:val="00DD4F96"/>
    <w:rsid w:val="00DE2318"/>
    <w:rsid w:val="00E020C4"/>
    <w:rsid w:val="00E660F1"/>
    <w:rsid w:val="00E810BD"/>
    <w:rsid w:val="00EC253E"/>
    <w:rsid w:val="00F1294A"/>
    <w:rsid w:val="00F764D8"/>
    <w:rsid w:val="00F8675F"/>
    <w:rsid w:val="00FE7BFD"/>
    <w:rsid w:val="00FF2DC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DF7E2"/>
  <w15:chartTrackingRefBased/>
  <w15:docId w15:val="{238214FE-F214-40CD-945D-E9C4C4D4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682"/>
    <w:rPr>
      <w:rFonts w:ascii="Segoe UI" w:hAnsi="Segoe UI"/>
    </w:rPr>
  </w:style>
  <w:style w:type="paragraph" w:styleId="Heading1">
    <w:name w:val="heading 1"/>
    <w:basedOn w:val="Normal"/>
    <w:next w:val="Normal"/>
    <w:link w:val="Heading1Char"/>
    <w:uiPriority w:val="9"/>
    <w:qFormat/>
    <w:rsid w:val="00543682"/>
    <w:pPr>
      <w:keepNext/>
      <w:keepLines/>
      <w:spacing w:before="240" w:after="0"/>
      <w:outlineLvl w:val="0"/>
    </w:pPr>
    <w:rPr>
      <w:rFonts w:eastAsiaTheme="majorEastAsia" w:cstheme="majorBidi"/>
      <w:b/>
      <w:sz w:val="48"/>
      <w:szCs w:val="32"/>
    </w:rPr>
  </w:style>
  <w:style w:type="paragraph" w:styleId="Heading2">
    <w:name w:val="heading 2"/>
    <w:basedOn w:val="Normal"/>
    <w:next w:val="Normal"/>
    <w:link w:val="Heading2Char"/>
    <w:uiPriority w:val="9"/>
    <w:unhideWhenUsed/>
    <w:qFormat/>
    <w:rsid w:val="00DE2318"/>
    <w:pPr>
      <w:keepNext/>
      <w:keepLines/>
      <w:spacing w:before="360" w:after="180"/>
      <w:outlineLvl w:val="1"/>
    </w:pPr>
    <w:rPr>
      <w:rFonts w:eastAsiaTheme="majorEastAsia" w:cstheme="majorBidi"/>
      <w:sz w:val="36"/>
      <w:szCs w:val="26"/>
    </w:rPr>
  </w:style>
  <w:style w:type="paragraph" w:styleId="Heading3">
    <w:name w:val="heading 3"/>
    <w:basedOn w:val="Normal"/>
    <w:next w:val="Normal"/>
    <w:link w:val="Heading3Char"/>
    <w:uiPriority w:val="9"/>
    <w:unhideWhenUsed/>
    <w:qFormat/>
    <w:rsid w:val="00DE2318"/>
    <w:pPr>
      <w:keepNext/>
      <w:keepLines/>
      <w:spacing w:before="280" w:after="120"/>
      <w:outlineLvl w:val="2"/>
    </w:pPr>
    <w:rPr>
      <w:rFonts w:eastAsiaTheme="majorEastAsia" w:cstheme="majorBidi"/>
      <w:sz w:val="28"/>
      <w:szCs w:val="24"/>
    </w:rPr>
  </w:style>
  <w:style w:type="paragraph" w:styleId="Heading4">
    <w:name w:val="heading 4"/>
    <w:basedOn w:val="ListParagraph"/>
    <w:next w:val="Normal"/>
    <w:link w:val="Heading4Char"/>
    <w:uiPriority w:val="9"/>
    <w:unhideWhenUsed/>
    <w:qFormat/>
    <w:rsid w:val="005F3461"/>
    <w:pPr>
      <w:numPr>
        <w:numId w:val="2"/>
      </w:numPr>
      <w:spacing w:before="120" w:after="0" w:line="240" w:lineRule="auto"/>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682"/>
    <w:rPr>
      <w:rFonts w:ascii="Segoe UI" w:eastAsiaTheme="majorEastAsia" w:hAnsi="Segoe UI" w:cstheme="majorBidi"/>
      <w:b/>
      <w:sz w:val="48"/>
      <w:szCs w:val="32"/>
    </w:rPr>
  </w:style>
  <w:style w:type="character" w:customStyle="1" w:styleId="Heading2Char">
    <w:name w:val="Heading 2 Char"/>
    <w:basedOn w:val="DefaultParagraphFont"/>
    <w:link w:val="Heading2"/>
    <w:uiPriority w:val="9"/>
    <w:rsid w:val="00DE2318"/>
    <w:rPr>
      <w:rFonts w:ascii="Segoe UI" w:eastAsiaTheme="majorEastAsia" w:hAnsi="Segoe UI" w:cstheme="majorBidi"/>
      <w:sz w:val="36"/>
      <w:szCs w:val="26"/>
    </w:rPr>
  </w:style>
  <w:style w:type="table" w:styleId="TableGrid">
    <w:name w:val="Table Grid"/>
    <w:basedOn w:val="TableNormal"/>
    <w:uiPriority w:val="39"/>
    <w:rsid w:val="0001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675E"/>
    <w:pPr>
      <w:ind w:left="720"/>
      <w:contextualSpacing/>
    </w:pPr>
  </w:style>
  <w:style w:type="paragraph" w:styleId="NormalWeb">
    <w:name w:val="Normal (Web)"/>
    <w:basedOn w:val="Normal"/>
    <w:uiPriority w:val="99"/>
    <w:semiHidden/>
    <w:unhideWhenUsed/>
    <w:rsid w:val="00E020C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Heading3Char">
    <w:name w:val="Heading 3 Char"/>
    <w:basedOn w:val="DefaultParagraphFont"/>
    <w:link w:val="Heading3"/>
    <w:uiPriority w:val="9"/>
    <w:rsid w:val="00DE2318"/>
    <w:rPr>
      <w:rFonts w:ascii="Segoe UI" w:eastAsiaTheme="majorEastAsia" w:hAnsi="Segoe UI" w:cstheme="majorBidi"/>
      <w:sz w:val="28"/>
      <w:szCs w:val="24"/>
    </w:rPr>
  </w:style>
  <w:style w:type="paragraph" w:customStyle="1" w:styleId="Default">
    <w:name w:val="Default"/>
    <w:rsid w:val="007D37D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5072C"/>
    <w:rPr>
      <w:color w:val="0563C1" w:themeColor="hyperlink"/>
      <w:u w:val="single"/>
    </w:rPr>
  </w:style>
  <w:style w:type="character" w:styleId="UnresolvedMention">
    <w:name w:val="Unresolved Mention"/>
    <w:basedOn w:val="DefaultParagraphFont"/>
    <w:uiPriority w:val="99"/>
    <w:semiHidden/>
    <w:unhideWhenUsed/>
    <w:rsid w:val="00D5072C"/>
    <w:rPr>
      <w:color w:val="605E5C"/>
      <w:shd w:val="clear" w:color="auto" w:fill="E1DFDD"/>
    </w:rPr>
  </w:style>
  <w:style w:type="paragraph" w:styleId="Header">
    <w:name w:val="header"/>
    <w:basedOn w:val="Normal"/>
    <w:link w:val="HeaderChar"/>
    <w:uiPriority w:val="99"/>
    <w:unhideWhenUsed/>
    <w:rsid w:val="005436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682"/>
  </w:style>
  <w:style w:type="paragraph" w:styleId="Footer">
    <w:name w:val="footer"/>
    <w:basedOn w:val="Normal"/>
    <w:link w:val="FooterChar"/>
    <w:uiPriority w:val="99"/>
    <w:unhideWhenUsed/>
    <w:rsid w:val="005436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682"/>
  </w:style>
  <w:style w:type="character" w:customStyle="1" w:styleId="Heading4Char">
    <w:name w:val="Heading 4 Char"/>
    <w:basedOn w:val="DefaultParagraphFont"/>
    <w:link w:val="Heading4"/>
    <w:uiPriority w:val="9"/>
    <w:rsid w:val="005F3461"/>
    <w:rPr>
      <w:rFonts w:ascii="Segoe UI" w:hAnsi="Segoe UI"/>
    </w:rPr>
  </w:style>
  <w:style w:type="paragraph" w:styleId="BalloonText">
    <w:name w:val="Balloon Text"/>
    <w:basedOn w:val="Normal"/>
    <w:link w:val="BalloonTextChar"/>
    <w:uiPriority w:val="99"/>
    <w:semiHidden/>
    <w:unhideWhenUsed/>
    <w:rsid w:val="005F3461"/>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5F3461"/>
    <w:rPr>
      <w:rFonts w:ascii="Segoe UI" w:hAnsi="Segoe UI" w:cs="Segoe UI"/>
      <w:sz w:val="18"/>
      <w:szCs w:val="18"/>
    </w:rPr>
  </w:style>
  <w:style w:type="character" w:customStyle="1" w:styleId="apple-converted-space">
    <w:name w:val="apple-converted-space"/>
    <w:basedOn w:val="DefaultParagraphFont"/>
    <w:rsid w:val="00BA4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122067">
      <w:bodyDiv w:val="1"/>
      <w:marLeft w:val="0"/>
      <w:marRight w:val="0"/>
      <w:marTop w:val="0"/>
      <w:marBottom w:val="0"/>
      <w:divBdr>
        <w:top w:val="none" w:sz="0" w:space="0" w:color="auto"/>
        <w:left w:val="none" w:sz="0" w:space="0" w:color="auto"/>
        <w:bottom w:val="none" w:sz="0" w:space="0" w:color="auto"/>
        <w:right w:val="none" w:sz="0" w:space="0" w:color="auto"/>
      </w:divBdr>
      <w:divsChild>
        <w:div w:id="275866606">
          <w:marLeft w:val="0"/>
          <w:marRight w:val="0"/>
          <w:marTop w:val="0"/>
          <w:marBottom w:val="0"/>
          <w:divBdr>
            <w:top w:val="none" w:sz="0" w:space="0" w:color="auto"/>
            <w:left w:val="none" w:sz="0" w:space="0" w:color="auto"/>
            <w:bottom w:val="none" w:sz="0" w:space="0" w:color="auto"/>
            <w:right w:val="none" w:sz="0" w:space="0" w:color="auto"/>
          </w:divBdr>
          <w:divsChild>
            <w:div w:id="1289622706">
              <w:marLeft w:val="0"/>
              <w:marRight w:val="0"/>
              <w:marTop w:val="0"/>
              <w:marBottom w:val="0"/>
              <w:divBdr>
                <w:top w:val="none" w:sz="0" w:space="0" w:color="auto"/>
                <w:left w:val="none" w:sz="0" w:space="0" w:color="auto"/>
                <w:bottom w:val="none" w:sz="0" w:space="0" w:color="auto"/>
                <w:right w:val="none" w:sz="0" w:space="0" w:color="auto"/>
              </w:divBdr>
              <w:divsChild>
                <w:div w:id="490412306">
                  <w:marLeft w:val="0"/>
                  <w:marRight w:val="0"/>
                  <w:marTop w:val="0"/>
                  <w:marBottom w:val="0"/>
                  <w:divBdr>
                    <w:top w:val="none" w:sz="0" w:space="0" w:color="auto"/>
                    <w:left w:val="none" w:sz="0" w:space="0" w:color="auto"/>
                    <w:bottom w:val="none" w:sz="0" w:space="0" w:color="auto"/>
                    <w:right w:val="none" w:sz="0" w:space="0" w:color="auto"/>
                  </w:divBdr>
                  <w:divsChild>
                    <w:div w:id="25494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688440">
      <w:bodyDiv w:val="1"/>
      <w:marLeft w:val="0"/>
      <w:marRight w:val="0"/>
      <w:marTop w:val="0"/>
      <w:marBottom w:val="0"/>
      <w:divBdr>
        <w:top w:val="none" w:sz="0" w:space="0" w:color="auto"/>
        <w:left w:val="none" w:sz="0" w:space="0" w:color="auto"/>
        <w:bottom w:val="none" w:sz="0" w:space="0" w:color="auto"/>
        <w:right w:val="none" w:sz="0" w:space="0" w:color="auto"/>
      </w:divBdr>
    </w:div>
    <w:div w:id="948320014">
      <w:bodyDiv w:val="1"/>
      <w:marLeft w:val="0"/>
      <w:marRight w:val="0"/>
      <w:marTop w:val="0"/>
      <w:marBottom w:val="0"/>
      <w:divBdr>
        <w:top w:val="none" w:sz="0" w:space="0" w:color="auto"/>
        <w:left w:val="none" w:sz="0" w:space="0" w:color="auto"/>
        <w:bottom w:val="none" w:sz="0" w:space="0" w:color="auto"/>
        <w:right w:val="none" w:sz="0" w:space="0" w:color="auto"/>
      </w:divBdr>
    </w:div>
    <w:div w:id="1259408838">
      <w:bodyDiv w:val="1"/>
      <w:marLeft w:val="0"/>
      <w:marRight w:val="0"/>
      <w:marTop w:val="0"/>
      <w:marBottom w:val="0"/>
      <w:divBdr>
        <w:top w:val="none" w:sz="0" w:space="0" w:color="auto"/>
        <w:left w:val="none" w:sz="0" w:space="0" w:color="auto"/>
        <w:bottom w:val="none" w:sz="0" w:space="0" w:color="auto"/>
        <w:right w:val="none" w:sz="0" w:space="0" w:color="auto"/>
      </w:divBdr>
      <w:divsChild>
        <w:div w:id="1830976686">
          <w:marLeft w:val="0"/>
          <w:marRight w:val="0"/>
          <w:marTop w:val="0"/>
          <w:marBottom w:val="0"/>
          <w:divBdr>
            <w:top w:val="none" w:sz="0" w:space="0" w:color="auto"/>
            <w:left w:val="none" w:sz="0" w:space="0" w:color="auto"/>
            <w:bottom w:val="none" w:sz="0" w:space="0" w:color="auto"/>
            <w:right w:val="none" w:sz="0" w:space="0" w:color="auto"/>
          </w:divBdr>
          <w:divsChild>
            <w:div w:id="1626541207">
              <w:marLeft w:val="0"/>
              <w:marRight w:val="0"/>
              <w:marTop w:val="0"/>
              <w:marBottom w:val="0"/>
              <w:divBdr>
                <w:top w:val="none" w:sz="0" w:space="0" w:color="auto"/>
                <w:left w:val="none" w:sz="0" w:space="0" w:color="auto"/>
                <w:bottom w:val="none" w:sz="0" w:space="0" w:color="auto"/>
                <w:right w:val="none" w:sz="0" w:space="0" w:color="auto"/>
              </w:divBdr>
              <w:divsChild>
                <w:div w:id="2030326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2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3234">
              <w:marLeft w:val="0"/>
              <w:marRight w:val="0"/>
              <w:marTop w:val="0"/>
              <w:marBottom w:val="0"/>
              <w:divBdr>
                <w:top w:val="none" w:sz="0" w:space="0" w:color="auto"/>
                <w:left w:val="none" w:sz="0" w:space="0" w:color="auto"/>
                <w:bottom w:val="none" w:sz="0" w:space="0" w:color="auto"/>
                <w:right w:val="none" w:sz="0" w:space="0" w:color="auto"/>
              </w:divBdr>
            </w:div>
            <w:div w:id="11323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5874">
      <w:bodyDiv w:val="1"/>
      <w:marLeft w:val="0"/>
      <w:marRight w:val="0"/>
      <w:marTop w:val="0"/>
      <w:marBottom w:val="0"/>
      <w:divBdr>
        <w:top w:val="none" w:sz="0" w:space="0" w:color="auto"/>
        <w:left w:val="none" w:sz="0" w:space="0" w:color="auto"/>
        <w:bottom w:val="none" w:sz="0" w:space="0" w:color="auto"/>
        <w:right w:val="none" w:sz="0" w:space="0" w:color="auto"/>
      </w:divBdr>
    </w:div>
    <w:div w:id="1580017855">
      <w:bodyDiv w:val="1"/>
      <w:marLeft w:val="0"/>
      <w:marRight w:val="0"/>
      <w:marTop w:val="0"/>
      <w:marBottom w:val="0"/>
      <w:divBdr>
        <w:top w:val="none" w:sz="0" w:space="0" w:color="auto"/>
        <w:left w:val="none" w:sz="0" w:space="0" w:color="auto"/>
        <w:bottom w:val="none" w:sz="0" w:space="0" w:color="auto"/>
        <w:right w:val="none" w:sz="0" w:space="0" w:color="auto"/>
      </w:divBdr>
    </w:div>
    <w:div w:id="1590189401">
      <w:bodyDiv w:val="1"/>
      <w:marLeft w:val="0"/>
      <w:marRight w:val="0"/>
      <w:marTop w:val="0"/>
      <w:marBottom w:val="0"/>
      <w:divBdr>
        <w:top w:val="none" w:sz="0" w:space="0" w:color="auto"/>
        <w:left w:val="none" w:sz="0" w:space="0" w:color="auto"/>
        <w:bottom w:val="none" w:sz="0" w:space="0" w:color="auto"/>
        <w:right w:val="none" w:sz="0" w:space="0" w:color="auto"/>
      </w:divBdr>
      <w:divsChild>
        <w:div w:id="1088308291">
          <w:marLeft w:val="0"/>
          <w:marRight w:val="0"/>
          <w:marTop w:val="0"/>
          <w:marBottom w:val="0"/>
          <w:divBdr>
            <w:top w:val="none" w:sz="0" w:space="0" w:color="auto"/>
            <w:left w:val="none" w:sz="0" w:space="0" w:color="auto"/>
            <w:bottom w:val="none" w:sz="0" w:space="0" w:color="auto"/>
            <w:right w:val="none" w:sz="0" w:space="0" w:color="auto"/>
          </w:divBdr>
          <w:divsChild>
            <w:div w:id="1863590686">
              <w:marLeft w:val="0"/>
              <w:marRight w:val="0"/>
              <w:marTop w:val="0"/>
              <w:marBottom w:val="0"/>
              <w:divBdr>
                <w:top w:val="none" w:sz="0" w:space="0" w:color="auto"/>
                <w:left w:val="none" w:sz="0" w:space="0" w:color="auto"/>
                <w:bottom w:val="none" w:sz="0" w:space="0" w:color="auto"/>
                <w:right w:val="none" w:sz="0" w:space="0" w:color="auto"/>
              </w:divBdr>
              <w:divsChild>
                <w:div w:id="315494294">
                  <w:marLeft w:val="0"/>
                  <w:marRight w:val="0"/>
                  <w:marTop w:val="0"/>
                  <w:marBottom w:val="0"/>
                  <w:divBdr>
                    <w:top w:val="none" w:sz="0" w:space="0" w:color="auto"/>
                    <w:left w:val="none" w:sz="0" w:space="0" w:color="auto"/>
                    <w:bottom w:val="none" w:sz="0" w:space="0" w:color="auto"/>
                    <w:right w:val="none" w:sz="0" w:space="0" w:color="auto"/>
                  </w:divBdr>
                  <w:divsChild>
                    <w:div w:id="122044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045904">
      <w:bodyDiv w:val="1"/>
      <w:marLeft w:val="0"/>
      <w:marRight w:val="0"/>
      <w:marTop w:val="0"/>
      <w:marBottom w:val="0"/>
      <w:divBdr>
        <w:top w:val="none" w:sz="0" w:space="0" w:color="auto"/>
        <w:left w:val="none" w:sz="0" w:space="0" w:color="auto"/>
        <w:bottom w:val="none" w:sz="0" w:space="0" w:color="auto"/>
        <w:right w:val="none" w:sz="0" w:space="0" w:color="auto"/>
      </w:divBdr>
    </w:div>
    <w:div w:id="1741363255">
      <w:bodyDiv w:val="1"/>
      <w:marLeft w:val="0"/>
      <w:marRight w:val="0"/>
      <w:marTop w:val="0"/>
      <w:marBottom w:val="0"/>
      <w:divBdr>
        <w:top w:val="none" w:sz="0" w:space="0" w:color="auto"/>
        <w:left w:val="none" w:sz="0" w:space="0" w:color="auto"/>
        <w:bottom w:val="none" w:sz="0" w:space="0" w:color="auto"/>
        <w:right w:val="none" w:sz="0" w:space="0" w:color="auto"/>
      </w:divBdr>
    </w:div>
    <w:div w:id="2036616931">
      <w:bodyDiv w:val="1"/>
      <w:marLeft w:val="0"/>
      <w:marRight w:val="0"/>
      <w:marTop w:val="0"/>
      <w:marBottom w:val="0"/>
      <w:divBdr>
        <w:top w:val="none" w:sz="0" w:space="0" w:color="auto"/>
        <w:left w:val="none" w:sz="0" w:space="0" w:color="auto"/>
        <w:bottom w:val="none" w:sz="0" w:space="0" w:color="auto"/>
        <w:right w:val="none" w:sz="0" w:space="0" w:color="auto"/>
      </w:divBdr>
      <w:divsChild>
        <w:div w:id="1632664064">
          <w:marLeft w:val="0"/>
          <w:marRight w:val="0"/>
          <w:marTop w:val="0"/>
          <w:marBottom w:val="0"/>
          <w:divBdr>
            <w:top w:val="none" w:sz="0" w:space="0" w:color="auto"/>
            <w:left w:val="none" w:sz="0" w:space="0" w:color="auto"/>
            <w:bottom w:val="none" w:sz="0" w:space="0" w:color="auto"/>
            <w:right w:val="none" w:sz="0" w:space="0" w:color="auto"/>
          </w:divBdr>
          <w:divsChild>
            <w:div w:id="769853940">
              <w:marLeft w:val="0"/>
              <w:marRight w:val="0"/>
              <w:marTop w:val="0"/>
              <w:marBottom w:val="0"/>
              <w:divBdr>
                <w:top w:val="none" w:sz="0" w:space="0" w:color="auto"/>
                <w:left w:val="none" w:sz="0" w:space="0" w:color="auto"/>
                <w:bottom w:val="none" w:sz="0" w:space="0" w:color="auto"/>
                <w:right w:val="none" w:sz="0" w:space="0" w:color="auto"/>
              </w:divBdr>
              <w:divsChild>
                <w:div w:id="2109963801">
                  <w:marLeft w:val="0"/>
                  <w:marRight w:val="0"/>
                  <w:marTop w:val="0"/>
                  <w:marBottom w:val="0"/>
                  <w:divBdr>
                    <w:top w:val="none" w:sz="0" w:space="0" w:color="auto"/>
                    <w:left w:val="none" w:sz="0" w:space="0" w:color="auto"/>
                    <w:bottom w:val="none" w:sz="0" w:space="0" w:color="auto"/>
                    <w:right w:val="none" w:sz="0" w:space="0" w:color="auto"/>
                  </w:divBdr>
                  <w:divsChild>
                    <w:div w:id="17404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harmacreview@health.govt.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0D82E3FC07494888D7C9368DFAC697" ma:contentTypeVersion="13" ma:contentTypeDescription="Create a new document." ma:contentTypeScope="" ma:versionID="99a692da3496a15aa647d02090562532">
  <xsd:schema xmlns:xsd="http://www.w3.org/2001/XMLSchema" xmlns:xs="http://www.w3.org/2001/XMLSchema" xmlns:p="http://schemas.microsoft.com/office/2006/metadata/properties" xmlns:ns3="417601d8-b133-4bfa-a841-9972946f34d2" xmlns:ns4="d59ea6e6-a59c-44b8-a0cc-c20c48781dd0" targetNamespace="http://schemas.microsoft.com/office/2006/metadata/properties" ma:root="true" ma:fieldsID="cc023a89ad04ccf309f3129342b1bc3a" ns3:_="" ns4:_="">
    <xsd:import namespace="417601d8-b133-4bfa-a841-9972946f34d2"/>
    <xsd:import namespace="d59ea6e6-a59c-44b8-a0cc-c20c48781d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601d8-b133-4bfa-a841-9972946f3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ea6e6-a59c-44b8-a0cc-c20c48781d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8A514-5C27-4CC1-A38B-B690333DAA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6F8D15-8E49-49FF-BAAF-539529BE49E5}">
  <ds:schemaRefs>
    <ds:schemaRef ds:uri="http://schemas.microsoft.com/sharepoint/v3/contenttype/forms"/>
  </ds:schemaRefs>
</ds:datastoreItem>
</file>

<file path=customXml/itemProps3.xml><?xml version="1.0" encoding="utf-8"?>
<ds:datastoreItem xmlns:ds="http://schemas.openxmlformats.org/officeDocument/2006/customXml" ds:itemID="{F9FA1F17-7B65-4A65-B8C0-753534BEA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601d8-b133-4bfa-a841-9972946f34d2"/>
    <ds:schemaRef ds:uri="d59ea6e6-a59c-44b8-a0cc-c20c48781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2021</Words>
  <Characters>11525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Pharmac Review submission form</vt:lpstr>
    </vt:vector>
  </TitlesOfParts>
  <Company>Ministry of Health</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 Review submission form</dc:title>
  <dc:subject/>
  <dc:creator>Pharmac Review</dc:creator>
  <cp:keywords/>
  <dc:description/>
  <cp:lastModifiedBy>Michelle Sullivan</cp:lastModifiedBy>
  <cp:revision>16</cp:revision>
  <cp:lastPrinted>2021-06-29T01:16:00Z</cp:lastPrinted>
  <dcterms:created xsi:type="dcterms:W3CDTF">2021-06-28T23:34:00Z</dcterms:created>
  <dcterms:modified xsi:type="dcterms:W3CDTF">2021-07-02T01:34:00Z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0x010100080D82E3FC07494888D7C9368DFAC697</vt:lpwstr>
  </property>
</Properties>
</file>